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1EDB" w14:textId="1007444D" w:rsidR="00846A0A" w:rsidRPr="00BE0280" w:rsidRDefault="00846A0A" w:rsidP="009F1404">
      <w:pPr>
        <w:jc w:val="center"/>
        <w:rPr>
          <w:rFonts w:ascii="Times New Roman" w:hAnsi="Times New Roman" w:cs="Times New Roman"/>
          <w:b/>
          <w:bCs/>
          <w:color w:val="2F2F2F"/>
          <w:spacing w:val="8"/>
          <w:sz w:val="24"/>
          <w:szCs w:val="24"/>
          <w:shd w:val="clear" w:color="auto" w:fill="FFFFFF"/>
        </w:rPr>
      </w:pPr>
      <w:r w:rsidRPr="00BE0280">
        <w:rPr>
          <w:rFonts w:ascii="Times New Roman" w:hAnsi="Times New Roman" w:cs="Times New Roman"/>
          <w:b/>
          <w:bCs/>
          <w:color w:val="2F2F2F"/>
          <w:spacing w:val="8"/>
          <w:sz w:val="24"/>
          <w:szCs w:val="24"/>
          <w:shd w:val="clear" w:color="auto" w:fill="FFFFFF"/>
        </w:rPr>
        <w:t>“Covid19 vaccines” for Children</w:t>
      </w:r>
      <w:r w:rsidR="009F1404" w:rsidRPr="00BE0280">
        <w:rPr>
          <w:rFonts w:ascii="Times New Roman" w:hAnsi="Times New Roman" w:cs="Times New Roman"/>
          <w:b/>
          <w:bCs/>
          <w:color w:val="2F2F2F"/>
          <w:spacing w:val="8"/>
          <w:sz w:val="24"/>
          <w:szCs w:val="24"/>
          <w:shd w:val="clear" w:color="auto" w:fill="FFFFFF"/>
        </w:rPr>
        <w:t xml:space="preserve"> </w:t>
      </w:r>
      <w:r w:rsidR="002D5369">
        <w:rPr>
          <w:rFonts w:ascii="Times New Roman" w:hAnsi="Times New Roman" w:cs="Times New Roman"/>
          <w:b/>
          <w:bCs/>
          <w:color w:val="2F2F2F"/>
          <w:spacing w:val="8"/>
          <w:sz w:val="24"/>
          <w:szCs w:val="24"/>
          <w:shd w:val="clear" w:color="auto" w:fill="FFFFFF"/>
        </w:rPr>
        <w:t>and</w:t>
      </w:r>
      <w:r w:rsidR="009F1404" w:rsidRPr="00BE0280">
        <w:rPr>
          <w:rFonts w:ascii="Times New Roman" w:hAnsi="Times New Roman" w:cs="Times New Roman"/>
          <w:b/>
          <w:bCs/>
          <w:color w:val="2F2F2F"/>
          <w:spacing w:val="8"/>
          <w:sz w:val="24"/>
          <w:szCs w:val="24"/>
          <w:shd w:val="clear" w:color="auto" w:fill="FFFFFF"/>
        </w:rPr>
        <w:t xml:space="preserve"> Canadian Family Courts</w:t>
      </w:r>
    </w:p>
    <w:p w14:paraId="2B62EF80" w14:textId="321B7360" w:rsidR="002F6DD6" w:rsidRPr="00BE0280" w:rsidRDefault="001A12ED" w:rsidP="00C63FC5">
      <w:pPr>
        <w:jc w:val="both"/>
        <w:rPr>
          <w:rFonts w:ascii="Times New Roman" w:hAnsi="Times New Roman" w:cs="Times New Roman"/>
          <w:color w:val="2F2F2F"/>
          <w:spacing w:val="8"/>
          <w:sz w:val="24"/>
          <w:szCs w:val="24"/>
          <w:shd w:val="clear" w:color="auto" w:fill="FFFFFF"/>
        </w:rPr>
      </w:pPr>
      <w:r w:rsidRPr="00BE0280">
        <w:rPr>
          <w:rFonts w:ascii="Times New Roman" w:hAnsi="Times New Roman" w:cs="Times New Roman"/>
          <w:i/>
          <w:iCs/>
          <w:color w:val="2F2F2F"/>
          <w:spacing w:val="8"/>
          <w:sz w:val="24"/>
          <w:szCs w:val="24"/>
          <w:shd w:val="clear" w:color="auto" w:fill="FFFFFF"/>
        </w:rPr>
        <w:t>The Epoch Times</w:t>
      </w:r>
      <w:r w:rsidRPr="00BE0280">
        <w:rPr>
          <w:rFonts w:ascii="Times New Roman" w:hAnsi="Times New Roman" w:cs="Times New Roman"/>
          <w:color w:val="2F2F2F"/>
          <w:spacing w:val="8"/>
          <w:sz w:val="24"/>
          <w:szCs w:val="24"/>
          <w:shd w:val="clear" w:color="auto" w:fill="FFFFFF"/>
        </w:rPr>
        <w:t xml:space="preserve"> published </w:t>
      </w:r>
      <w:r w:rsidR="00AF39FD" w:rsidRPr="00BE0280">
        <w:rPr>
          <w:rFonts w:ascii="Times New Roman" w:hAnsi="Times New Roman" w:cs="Times New Roman"/>
          <w:color w:val="2F2F2F"/>
          <w:spacing w:val="8"/>
          <w:sz w:val="24"/>
          <w:szCs w:val="24"/>
          <w:shd w:val="clear" w:color="auto" w:fill="FFFFFF"/>
        </w:rPr>
        <w:t>a</w:t>
      </w:r>
      <w:r w:rsidR="00526E7C" w:rsidRPr="00BE0280">
        <w:rPr>
          <w:rFonts w:ascii="Times New Roman" w:hAnsi="Times New Roman" w:cs="Times New Roman"/>
          <w:color w:val="2F2F2F"/>
          <w:spacing w:val="8"/>
          <w:sz w:val="24"/>
          <w:szCs w:val="24"/>
          <w:shd w:val="clear" w:color="auto" w:fill="FFFFFF"/>
        </w:rPr>
        <w:t>n</w:t>
      </w:r>
      <w:r w:rsidRPr="00BE0280">
        <w:rPr>
          <w:rFonts w:ascii="Times New Roman" w:hAnsi="Times New Roman" w:cs="Times New Roman"/>
          <w:color w:val="2F2F2F"/>
          <w:spacing w:val="8"/>
          <w:sz w:val="24"/>
          <w:szCs w:val="24"/>
          <w:shd w:val="clear" w:color="auto" w:fill="FFFFFF"/>
        </w:rPr>
        <w:t xml:space="preserve"> opinion </w:t>
      </w:r>
      <w:r w:rsidR="002D5369">
        <w:rPr>
          <w:rFonts w:ascii="Times New Roman" w:hAnsi="Times New Roman" w:cs="Times New Roman"/>
          <w:color w:val="2F2F2F"/>
          <w:spacing w:val="8"/>
          <w:sz w:val="24"/>
          <w:szCs w:val="24"/>
          <w:shd w:val="clear" w:color="auto" w:fill="FFFFFF"/>
        </w:rPr>
        <w:t>yesterday</w:t>
      </w:r>
      <w:r w:rsidRPr="00BE0280">
        <w:rPr>
          <w:rFonts w:ascii="Times New Roman" w:hAnsi="Times New Roman" w:cs="Times New Roman"/>
          <w:color w:val="2F2F2F"/>
          <w:spacing w:val="8"/>
          <w:sz w:val="24"/>
          <w:szCs w:val="24"/>
          <w:shd w:val="clear" w:color="auto" w:fill="FFFFFF"/>
        </w:rPr>
        <w:t xml:space="preserve"> </w:t>
      </w:r>
      <w:r w:rsidR="002D5369">
        <w:rPr>
          <w:rFonts w:ascii="Times New Roman" w:hAnsi="Times New Roman" w:cs="Times New Roman"/>
          <w:color w:val="2F2F2F"/>
          <w:spacing w:val="8"/>
          <w:sz w:val="24"/>
          <w:szCs w:val="24"/>
          <w:shd w:val="clear" w:color="auto" w:fill="FFFFFF"/>
        </w:rPr>
        <w:t xml:space="preserve">titled: </w:t>
      </w:r>
      <w:r w:rsidRPr="00BE0280">
        <w:rPr>
          <w:rFonts w:ascii="Times New Roman" w:hAnsi="Times New Roman" w:cs="Times New Roman"/>
          <w:color w:val="2F2F2F"/>
          <w:spacing w:val="8"/>
          <w:sz w:val="24"/>
          <w:szCs w:val="24"/>
          <w:shd w:val="clear" w:color="auto" w:fill="FFFFFF"/>
        </w:rPr>
        <w:t>Double Standards in Canad</w:t>
      </w:r>
      <w:r w:rsidR="002D5369">
        <w:rPr>
          <w:rFonts w:ascii="Times New Roman" w:hAnsi="Times New Roman" w:cs="Times New Roman"/>
          <w:color w:val="2F2F2F"/>
          <w:spacing w:val="8"/>
          <w:sz w:val="24"/>
          <w:szCs w:val="24"/>
          <w:shd w:val="clear" w:color="auto" w:fill="FFFFFF"/>
        </w:rPr>
        <w:t>a’</w:t>
      </w:r>
      <w:r w:rsidRPr="00BE0280">
        <w:rPr>
          <w:rFonts w:ascii="Times New Roman" w:hAnsi="Times New Roman" w:cs="Times New Roman"/>
          <w:color w:val="2F2F2F"/>
          <w:spacing w:val="8"/>
          <w:sz w:val="24"/>
          <w:szCs w:val="24"/>
          <w:shd w:val="clear" w:color="auto" w:fill="FFFFFF"/>
        </w:rPr>
        <w:t>s Criminal Justice System</w:t>
      </w:r>
      <w:r w:rsidR="00846A0A" w:rsidRPr="00BE0280">
        <w:rPr>
          <w:rStyle w:val="FootnoteReference"/>
          <w:rFonts w:ascii="Times New Roman" w:hAnsi="Times New Roman" w:cs="Times New Roman"/>
          <w:color w:val="2F2F2F"/>
          <w:spacing w:val="8"/>
          <w:sz w:val="24"/>
          <w:szCs w:val="24"/>
          <w:shd w:val="clear" w:color="auto" w:fill="FFFFFF"/>
        </w:rPr>
        <w:footnoteReference w:id="1"/>
      </w:r>
      <w:r w:rsidRPr="00BE0280">
        <w:rPr>
          <w:rFonts w:ascii="Times New Roman" w:hAnsi="Times New Roman" w:cs="Times New Roman"/>
          <w:color w:val="2F2F2F"/>
          <w:spacing w:val="8"/>
          <w:sz w:val="24"/>
          <w:szCs w:val="24"/>
          <w:shd w:val="clear" w:color="auto" w:fill="FFFFFF"/>
        </w:rPr>
        <w:t>.</w:t>
      </w:r>
      <w:r w:rsidR="00AF39FD" w:rsidRPr="00BE0280">
        <w:rPr>
          <w:rFonts w:ascii="Times New Roman" w:hAnsi="Times New Roman" w:cs="Times New Roman"/>
          <w:color w:val="2F2F2F"/>
          <w:spacing w:val="8"/>
          <w:sz w:val="24"/>
          <w:szCs w:val="24"/>
          <w:shd w:val="clear" w:color="auto" w:fill="FFFFFF"/>
        </w:rPr>
        <w:t xml:space="preserve"> </w:t>
      </w:r>
      <w:r w:rsidRPr="00BE0280">
        <w:rPr>
          <w:rFonts w:ascii="Times New Roman" w:hAnsi="Times New Roman" w:cs="Times New Roman"/>
          <w:color w:val="2F2F2F"/>
          <w:spacing w:val="8"/>
          <w:sz w:val="24"/>
          <w:szCs w:val="24"/>
          <w:shd w:val="clear" w:color="auto" w:fill="FFFFFF"/>
        </w:rPr>
        <w:t>Journalist Cory Morgan wr</w:t>
      </w:r>
      <w:r w:rsidR="00846A0A" w:rsidRPr="00BE0280">
        <w:rPr>
          <w:rFonts w:ascii="Times New Roman" w:hAnsi="Times New Roman" w:cs="Times New Roman"/>
          <w:color w:val="2F2F2F"/>
          <w:spacing w:val="8"/>
          <w:sz w:val="24"/>
          <w:szCs w:val="24"/>
          <w:shd w:val="clear" w:color="auto" w:fill="FFFFFF"/>
        </w:rPr>
        <w:t>ote</w:t>
      </w:r>
      <w:r w:rsidR="00AF39FD" w:rsidRPr="00BE0280">
        <w:rPr>
          <w:rFonts w:ascii="Times New Roman" w:hAnsi="Times New Roman" w:cs="Times New Roman"/>
          <w:color w:val="2F2F2F"/>
          <w:spacing w:val="8"/>
          <w:sz w:val="24"/>
          <w:szCs w:val="24"/>
          <w:shd w:val="clear" w:color="auto" w:fill="FFFFFF"/>
        </w:rPr>
        <w:t xml:space="preserve"> “</w:t>
      </w:r>
      <w:r w:rsidRPr="00BE0280">
        <w:rPr>
          <w:rFonts w:ascii="Times New Roman" w:hAnsi="Times New Roman" w:cs="Times New Roman"/>
          <w:i/>
          <w:iCs/>
          <w:color w:val="2F2F2F"/>
          <w:spacing w:val="8"/>
          <w:sz w:val="24"/>
          <w:szCs w:val="24"/>
          <w:shd w:val="clear" w:color="auto" w:fill="FFFFFF"/>
        </w:rPr>
        <w:t xml:space="preserve">As criminal justice cases related to the COVID-19 pandemic and citizens’ responses to it make their way through Canada’s agonizingly slow justice system, a disturbing trend of possible judicial bias appears to be emerging. The double standard being applied to prosecutions linked to any form of </w:t>
      </w:r>
      <w:proofErr w:type="gramStart"/>
      <w:r w:rsidRPr="00BE0280">
        <w:rPr>
          <w:rFonts w:ascii="Times New Roman" w:hAnsi="Times New Roman" w:cs="Times New Roman"/>
          <w:i/>
          <w:iCs/>
          <w:color w:val="2F2F2F"/>
          <w:spacing w:val="8"/>
          <w:sz w:val="24"/>
          <w:szCs w:val="24"/>
          <w:shd w:val="clear" w:color="auto" w:fill="FFFFFF"/>
        </w:rPr>
        <w:t>protests against</w:t>
      </w:r>
      <w:proofErr w:type="gramEnd"/>
      <w:r w:rsidRPr="00BE0280">
        <w:rPr>
          <w:rFonts w:ascii="Times New Roman" w:hAnsi="Times New Roman" w:cs="Times New Roman"/>
          <w:i/>
          <w:iCs/>
          <w:color w:val="2F2F2F"/>
          <w:spacing w:val="8"/>
          <w:sz w:val="24"/>
          <w:szCs w:val="24"/>
          <w:shd w:val="clear" w:color="auto" w:fill="FFFFFF"/>
        </w:rPr>
        <w:t xml:space="preserve"> pandemic restrictions is stark and disturbing. The examples are growing.</w:t>
      </w:r>
      <w:r w:rsidR="00AF39FD" w:rsidRPr="00BE0280">
        <w:rPr>
          <w:rFonts w:ascii="Times New Roman" w:hAnsi="Times New Roman" w:cs="Times New Roman"/>
          <w:color w:val="2F2F2F"/>
          <w:spacing w:val="8"/>
          <w:sz w:val="24"/>
          <w:szCs w:val="24"/>
          <w:shd w:val="clear" w:color="auto" w:fill="FFFFFF"/>
        </w:rPr>
        <w:t xml:space="preserve">” </w:t>
      </w:r>
      <w:r w:rsidRPr="00BE0280">
        <w:rPr>
          <w:rFonts w:ascii="Times New Roman" w:hAnsi="Times New Roman" w:cs="Times New Roman"/>
          <w:color w:val="2F2F2F"/>
          <w:spacing w:val="8"/>
          <w:sz w:val="24"/>
          <w:szCs w:val="24"/>
          <w:shd w:val="clear" w:color="auto" w:fill="FFFFFF"/>
        </w:rPr>
        <w:t xml:space="preserve">He </w:t>
      </w:r>
      <w:r w:rsidR="00526E7C" w:rsidRPr="00BE0280">
        <w:rPr>
          <w:rFonts w:ascii="Times New Roman" w:hAnsi="Times New Roman" w:cs="Times New Roman"/>
          <w:color w:val="2F2F2F"/>
          <w:spacing w:val="8"/>
          <w:sz w:val="24"/>
          <w:szCs w:val="24"/>
          <w:shd w:val="clear" w:color="auto" w:fill="FFFFFF"/>
        </w:rPr>
        <w:t>then</w:t>
      </w:r>
      <w:r w:rsidR="00AF39FD" w:rsidRPr="00BE0280">
        <w:rPr>
          <w:rFonts w:ascii="Times New Roman" w:hAnsi="Times New Roman" w:cs="Times New Roman"/>
          <w:color w:val="2F2F2F"/>
          <w:spacing w:val="8"/>
          <w:sz w:val="24"/>
          <w:szCs w:val="24"/>
          <w:shd w:val="clear" w:color="auto" w:fill="FFFFFF"/>
        </w:rPr>
        <w:t xml:space="preserve"> cites</w:t>
      </w:r>
      <w:r w:rsidRPr="00BE0280">
        <w:rPr>
          <w:rFonts w:ascii="Times New Roman" w:hAnsi="Times New Roman" w:cs="Times New Roman"/>
          <w:color w:val="2F2F2F"/>
          <w:spacing w:val="8"/>
          <w:sz w:val="24"/>
          <w:szCs w:val="24"/>
          <w:shd w:val="clear" w:color="auto" w:fill="FFFFFF"/>
        </w:rPr>
        <w:t xml:space="preserve"> a few </w:t>
      </w:r>
      <w:r w:rsidR="00526E7C" w:rsidRPr="00BE0280">
        <w:rPr>
          <w:rFonts w:ascii="Times New Roman" w:hAnsi="Times New Roman" w:cs="Times New Roman"/>
          <w:color w:val="2F2F2F"/>
          <w:spacing w:val="8"/>
          <w:sz w:val="24"/>
          <w:szCs w:val="24"/>
          <w:shd w:val="clear" w:color="auto" w:fill="FFFFFF"/>
        </w:rPr>
        <w:t>high-profile criminal</w:t>
      </w:r>
      <w:r w:rsidRPr="00BE0280">
        <w:rPr>
          <w:rFonts w:ascii="Times New Roman" w:hAnsi="Times New Roman" w:cs="Times New Roman"/>
          <w:color w:val="2F2F2F"/>
          <w:spacing w:val="8"/>
          <w:sz w:val="24"/>
          <w:szCs w:val="24"/>
          <w:shd w:val="clear" w:color="auto" w:fill="FFFFFF"/>
        </w:rPr>
        <w:t xml:space="preserve"> cases as examples </w:t>
      </w:r>
      <w:r w:rsidR="00846A0A" w:rsidRPr="00BE0280">
        <w:rPr>
          <w:rFonts w:ascii="Times New Roman" w:hAnsi="Times New Roman" w:cs="Times New Roman"/>
          <w:color w:val="2F2F2F"/>
          <w:spacing w:val="8"/>
          <w:sz w:val="24"/>
          <w:szCs w:val="24"/>
          <w:shd w:val="clear" w:color="auto" w:fill="FFFFFF"/>
        </w:rPr>
        <w:t>of the judicial double standard and concludes</w:t>
      </w:r>
      <w:r w:rsidR="00AF39FD" w:rsidRPr="00BE0280">
        <w:rPr>
          <w:rFonts w:ascii="Times New Roman" w:hAnsi="Times New Roman" w:cs="Times New Roman"/>
          <w:color w:val="2F2F2F"/>
          <w:spacing w:val="8"/>
          <w:sz w:val="24"/>
          <w:szCs w:val="24"/>
          <w:shd w:val="clear" w:color="auto" w:fill="FFFFFF"/>
        </w:rPr>
        <w:t xml:space="preserve"> “</w:t>
      </w:r>
      <w:r w:rsidRPr="00BE0280">
        <w:rPr>
          <w:rFonts w:ascii="Times New Roman" w:hAnsi="Times New Roman" w:cs="Times New Roman"/>
          <w:i/>
          <w:iCs/>
          <w:color w:val="2F2F2F"/>
          <w:spacing w:val="8"/>
          <w:sz w:val="24"/>
          <w:szCs w:val="24"/>
          <w:shd w:val="clear" w:color="auto" w:fill="FFFFFF"/>
        </w:rPr>
        <w:t xml:space="preserve">The justice system is failing to keep the public safe, and it appears politicization of the process is a factor in the problem. There is a dangerous double standard at </w:t>
      </w:r>
      <w:r w:rsidR="00526E7C" w:rsidRPr="00BE0280">
        <w:rPr>
          <w:rFonts w:ascii="Times New Roman" w:hAnsi="Times New Roman" w:cs="Times New Roman"/>
          <w:i/>
          <w:iCs/>
          <w:color w:val="2F2F2F"/>
          <w:spacing w:val="8"/>
          <w:sz w:val="24"/>
          <w:szCs w:val="24"/>
          <w:shd w:val="clear" w:color="auto" w:fill="FFFFFF"/>
        </w:rPr>
        <w:t>play,</w:t>
      </w:r>
      <w:r w:rsidRPr="00BE0280">
        <w:rPr>
          <w:rFonts w:ascii="Times New Roman" w:hAnsi="Times New Roman" w:cs="Times New Roman"/>
          <w:i/>
          <w:iCs/>
          <w:color w:val="2F2F2F"/>
          <w:spacing w:val="8"/>
          <w:sz w:val="24"/>
          <w:szCs w:val="24"/>
          <w:shd w:val="clear" w:color="auto" w:fill="FFFFFF"/>
        </w:rPr>
        <w:t xml:space="preserve"> and it must be rectified</w:t>
      </w:r>
      <w:r w:rsidRPr="00BE0280">
        <w:rPr>
          <w:rFonts w:ascii="Times New Roman" w:hAnsi="Times New Roman" w:cs="Times New Roman"/>
          <w:color w:val="2F2F2F"/>
          <w:spacing w:val="8"/>
          <w:sz w:val="24"/>
          <w:szCs w:val="24"/>
          <w:shd w:val="clear" w:color="auto" w:fill="FFFFFF"/>
        </w:rPr>
        <w:t>.</w:t>
      </w:r>
      <w:r w:rsidR="00AF39FD" w:rsidRPr="00BE0280">
        <w:rPr>
          <w:rFonts w:ascii="Times New Roman" w:hAnsi="Times New Roman" w:cs="Times New Roman"/>
          <w:color w:val="2F2F2F"/>
          <w:spacing w:val="8"/>
          <w:sz w:val="24"/>
          <w:szCs w:val="24"/>
          <w:shd w:val="clear" w:color="auto" w:fill="FFFFFF"/>
        </w:rPr>
        <w:t>”</w:t>
      </w:r>
    </w:p>
    <w:p w14:paraId="148AFE96" w14:textId="1EBC4AE1" w:rsidR="001A12ED" w:rsidRPr="00BE0280" w:rsidRDefault="00AF39FD" w:rsidP="00C63FC5">
      <w:pPr>
        <w:jc w:val="both"/>
        <w:rPr>
          <w:rFonts w:ascii="Times New Roman" w:hAnsi="Times New Roman" w:cs="Times New Roman"/>
          <w:color w:val="2F2F2F"/>
          <w:spacing w:val="8"/>
          <w:sz w:val="24"/>
          <w:szCs w:val="24"/>
          <w:shd w:val="clear" w:color="auto" w:fill="FFFFFF"/>
        </w:rPr>
      </w:pPr>
      <w:r w:rsidRPr="00BE0280">
        <w:rPr>
          <w:rFonts w:ascii="Times New Roman" w:hAnsi="Times New Roman" w:cs="Times New Roman"/>
          <w:color w:val="2F2F2F"/>
          <w:spacing w:val="8"/>
          <w:sz w:val="24"/>
          <w:szCs w:val="24"/>
          <w:shd w:val="clear" w:color="auto" w:fill="FFFFFF"/>
        </w:rPr>
        <w:t xml:space="preserve">As I read </w:t>
      </w:r>
      <w:r w:rsidR="001A12ED" w:rsidRPr="00BE0280">
        <w:rPr>
          <w:rFonts w:ascii="Times New Roman" w:hAnsi="Times New Roman" w:cs="Times New Roman"/>
          <w:color w:val="2F2F2F"/>
          <w:spacing w:val="8"/>
          <w:sz w:val="24"/>
          <w:szCs w:val="24"/>
          <w:shd w:val="clear" w:color="auto" w:fill="FFFFFF"/>
        </w:rPr>
        <w:t>Morgan</w:t>
      </w:r>
      <w:r w:rsidRPr="00BE0280">
        <w:rPr>
          <w:rFonts w:ascii="Times New Roman" w:hAnsi="Times New Roman" w:cs="Times New Roman"/>
          <w:color w:val="2F2F2F"/>
          <w:spacing w:val="8"/>
          <w:sz w:val="24"/>
          <w:szCs w:val="24"/>
          <w:shd w:val="clear" w:color="auto" w:fill="FFFFFF"/>
        </w:rPr>
        <w:t>’s astute</w:t>
      </w:r>
      <w:r w:rsidR="001A12ED" w:rsidRPr="00BE0280">
        <w:rPr>
          <w:rFonts w:ascii="Times New Roman" w:hAnsi="Times New Roman" w:cs="Times New Roman"/>
          <w:color w:val="2F2F2F"/>
          <w:spacing w:val="8"/>
          <w:sz w:val="24"/>
          <w:szCs w:val="24"/>
          <w:shd w:val="clear" w:color="auto" w:fill="FFFFFF"/>
        </w:rPr>
        <w:t xml:space="preserve"> observations</w:t>
      </w:r>
      <w:r w:rsidRPr="00BE0280">
        <w:rPr>
          <w:rFonts w:ascii="Times New Roman" w:hAnsi="Times New Roman" w:cs="Times New Roman"/>
          <w:color w:val="2F2F2F"/>
          <w:spacing w:val="8"/>
          <w:sz w:val="24"/>
          <w:szCs w:val="24"/>
          <w:shd w:val="clear" w:color="auto" w:fill="FFFFFF"/>
        </w:rPr>
        <w:t>, I thought, sadly, that</w:t>
      </w:r>
      <w:r w:rsidR="002D5369">
        <w:rPr>
          <w:rFonts w:ascii="Times New Roman" w:hAnsi="Times New Roman" w:cs="Times New Roman"/>
          <w:color w:val="2F2F2F"/>
          <w:spacing w:val="8"/>
          <w:sz w:val="24"/>
          <w:szCs w:val="24"/>
          <w:shd w:val="clear" w:color="auto" w:fill="FFFFFF"/>
        </w:rPr>
        <w:t xml:space="preserve"> the politicization of the legal system not restricted to criminal cases. T</w:t>
      </w:r>
      <w:r w:rsidRPr="00BE0280">
        <w:rPr>
          <w:rFonts w:ascii="Times New Roman" w:hAnsi="Times New Roman" w:cs="Times New Roman"/>
          <w:color w:val="2F2F2F"/>
          <w:spacing w:val="8"/>
          <w:sz w:val="24"/>
          <w:szCs w:val="24"/>
          <w:shd w:val="clear" w:color="auto" w:fill="FFFFFF"/>
        </w:rPr>
        <w:t xml:space="preserve">he same </w:t>
      </w:r>
      <w:r w:rsidR="00526E7C" w:rsidRPr="00BE0280">
        <w:rPr>
          <w:rFonts w:ascii="Times New Roman" w:hAnsi="Times New Roman" w:cs="Times New Roman"/>
          <w:color w:val="2F2F2F"/>
          <w:spacing w:val="8"/>
          <w:sz w:val="24"/>
          <w:szCs w:val="24"/>
          <w:shd w:val="clear" w:color="auto" w:fill="FFFFFF"/>
        </w:rPr>
        <w:t xml:space="preserve">conclusions </w:t>
      </w:r>
      <w:r w:rsidR="001A12ED" w:rsidRPr="00BE0280">
        <w:rPr>
          <w:rFonts w:ascii="Times New Roman" w:hAnsi="Times New Roman" w:cs="Times New Roman"/>
          <w:color w:val="2F2F2F"/>
          <w:spacing w:val="8"/>
          <w:sz w:val="24"/>
          <w:szCs w:val="24"/>
          <w:shd w:val="clear" w:color="auto" w:fill="FFFFFF"/>
        </w:rPr>
        <w:t>apply equally to civil cases</w:t>
      </w:r>
      <w:r w:rsidR="00526E7C" w:rsidRPr="00BE0280">
        <w:rPr>
          <w:rFonts w:ascii="Times New Roman" w:hAnsi="Times New Roman" w:cs="Times New Roman"/>
          <w:color w:val="2F2F2F"/>
          <w:spacing w:val="8"/>
          <w:sz w:val="24"/>
          <w:szCs w:val="24"/>
          <w:shd w:val="clear" w:color="auto" w:fill="FFFFFF"/>
        </w:rPr>
        <w:t xml:space="preserve"> </w:t>
      </w:r>
      <w:r w:rsidRPr="00BE0280">
        <w:rPr>
          <w:rFonts w:ascii="Times New Roman" w:hAnsi="Times New Roman" w:cs="Times New Roman"/>
          <w:color w:val="2F2F2F"/>
          <w:spacing w:val="8"/>
          <w:sz w:val="24"/>
          <w:szCs w:val="24"/>
          <w:shd w:val="clear" w:color="auto" w:fill="FFFFFF"/>
        </w:rPr>
        <w:t xml:space="preserve">being </w:t>
      </w:r>
      <w:r w:rsidR="00526E7C" w:rsidRPr="00BE0280">
        <w:rPr>
          <w:rFonts w:ascii="Times New Roman" w:hAnsi="Times New Roman" w:cs="Times New Roman"/>
          <w:color w:val="2F2F2F"/>
          <w:spacing w:val="8"/>
          <w:sz w:val="24"/>
          <w:szCs w:val="24"/>
          <w:shd w:val="clear" w:color="auto" w:fill="FFFFFF"/>
        </w:rPr>
        <w:t>decided by Canadian courts regarding litigation concerning COVID</w:t>
      </w:r>
      <w:r w:rsidR="00397FB3">
        <w:rPr>
          <w:rFonts w:ascii="Times New Roman" w:hAnsi="Times New Roman" w:cs="Times New Roman"/>
          <w:color w:val="2F2F2F"/>
          <w:spacing w:val="8"/>
          <w:sz w:val="24"/>
          <w:szCs w:val="24"/>
          <w:shd w:val="clear" w:color="auto" w:fill="FFFFFF"/>
        </w:rPr>
        <w:t>-</w:t>
      </w:r>
      <w:r w:rsidR="00526E7C" w:rsidRPr="00BE0280">
        <w:rPr>
          <w:rFonts w:ascii="Times New Roman" w:hAnsi="Times New Roman" w:cs="Times New Roman"/>
          <w:color w:val="2F2F2F"/>
          <w:spacing w:val="8"/>
          <w:sz w:val="24"/>
          <w:szCs w:val="24"/>
          <w:shd w:val="clear" w:color="auto" w:fill="FFFFFF"/>
        </w:rPr>
        <w:t xml:space="preserve">19. </w:t>
      </w:r>
      <w:r w:rsidR="00846A0A" w:rsidRPr="00BE0280">
        <w:rPr>
          <w:rFonts w:ascii="Times New Roman" w:hAnsi="Times New Roman" w:cs="Times New Roman"/>
          <w:color w:val="2F2F2F"/>
          <w:spacing w:val="8"/>
          <w:sz w:val="24"/>
          <w:szCs w:val="24"/>
          <w:shd w:val="clear" w:color="auto" w:fill="FFFFFF"/>
        </w:rPr>
        <w:t xml:space="preserve">While there </w:t>
      </w:r>
      <w:proofErr w:type="gramStart"/>
      <w:r w:rsidR="00846A0A" w:rsidRPr="00BE0280">
        <w:rPr>
          <w:rFonts w:ascii="Times New Roman" w:hAnsi="Times New Roman" w:cs="Times New Roman"/>
          <w:color w:val="2F2F2F"/>
          <w:spacing w:val="8"/>
          <w:sz w:val="24"/>
          <w:szCs w:val="24"/>
          <w:shd w:val="clear" w:color="auto" w:fill="FFFFFF"/>
        </w:rPr>
        <w:t>are</w:t>
      </w:r>
      <w:proofErr w:type="gramEnd"/>
      <w:r w:rsidR="00846A0A" w:rsidRPr="00BE0280">
        <w:rPr>
          <w:rFonts w:ascii="Times New Roman" w:hAnsi="Times New Roman" w:cs="Times New Roman"/>
          <w:color w:val="2F2F2F"/>
          <w:spacing w:val="8"/>
          <w:sz w:val="24"/>
          <w:szCs w:val="24"/>
          <w:shd w:val="clear" w:color="auto" w:fill="FFFFFF"/>
        </w:rPr>
        <w:t xml:space="preserve"> a plethora of civil litigation cases I would like to comment on, I will be</w:t>
      </w:r>
      <w:r w:rsidR="00397FB3">
        <w:rPr>
          <w:rFonts w:ascii="Times New Roman" w:hAnsi="Times New Roman" w:cs="Times New Roman"/>
          <w:color w:val="2F2F2F"/>
          <w:spacing w:val="8"/>
          <w:sz w:val="24"/>
          <w:szCs w:val="24"/>
          <w:shd w:val="clear" w:color="auto" w:fill="FFFFFF"/>
        </w:rPr>
        <w:t>gin</w:t>
      </w:r>
      <w:r w:rsidR="00846A0A" w:rsidRPr="00BE0280">
        <w:rPr>
          <w:rFonts w:ascii="Times New Roman" w:hAnsi="Times New Roman" w:cs="Times New Roman"/>
          <w:color w:val="2F2F2F"/>
          <w:spacing w:val="8"/>
          <w:sz w:val="24"/>
          <w:szCs w:val="24"/>
          <w:shd w:val="clear" w:color="auto" w:fill="FFFFFF"/>
        </w:rPr>
        <w:t xml:space="preserve"> here with </w:t>
      </w:r>
      <w:r w:rsidR="001A12ED" w:rsidRPr="00BE0280">
        <w:rPr>
          <w:rFonts w:ascii="Times New Roman" w:hAnsi="Times New Roman" w:cs="Times New Roman"/>
          <w:color w:val="2F2F2F"/>
          <w:spacing w:val="8"/>
          <w:sz w:val="24"/>
          <w:szCs w:val="24"/>
          <w:shd w:val="clear" w:color="auto" w:fill="FFFFFF"/>
        </w:rPr>
        <w:t>Family l</w:t>
      </w:r>
      <w:r w:rsidR="00846A0A" w:rsidRPr="00BE0280">
        <w:rPr>
          <w:rFonts w:ascii="Times New Roman" w:hAnsi="Times New Roman" w:cs="Times New Roman"/>
          <w:color w:val="2F2F2F"/>
          <w:spacing w:val="8"/>
          <w:sz w:val="24"/>
          <w:szCs w:val="24"/>
          <w:shd w:val="clear" w:color="auto" w:fill="FFFFFF"/>
        </w:rPr>
        <w:t>a</w:t>
      </w:r>
      <w:r w:rsidR="001A12ED" w:rsidRPr="00BE0280">
        <w:rPr>
          <w:rFonts w:ascii="Times New Roman" w:hAnsi="Times New Roman" w:cs="Times New Roman"/>
          <w:color w:val="2F2F2F"/>
          <w:spacing w:val="8"/>
          <w:sz w:val="24"/>
          <w:szCs w:val="24"/>
          <w:shd w:val="clear" w:color="auto" w:fill="FFFFFF"/>
        </w:rPr>
        <w:t>w cases</w:t>
      </w:r>
      <w:r w:rsidR="00846A0A" w:rsidRPr="00BE0280">
        <w:rPr>
          <w:rFonts w:ascii="Times New Roman" w:hAnsi="Times New Roman" w:cs="Times New Roman"/>
          <w:color w:val="2F2F2F"/>
          <w:spacing w:val="8"/>
          <w:sz w:val="24"/>
          <w:szCs w:val="24"/>
          <w:shd w:val="clear" w:color="auto" w:fill="FFFFFF"/>
        </w:rPr>
        <w:t>. However, in</w:t>
      </w:r>
      <w:r w:rsidR="00526E7C" w:rsidRPr="00BE0280">
        <w:rPr>
          <w:rFonts w:ascii="Times New Roman" w:hAnsi="Times New Roman" w:cs="Times New Roman"/>
          <w:color w:val="2F2F2F"/>
          <w:spacing w:val="8"/>
          <w:sz w:val="24"/>
          <w:szCs w:val="24"/>
          <w:shd w:val="clear" w:color="auto" w:fill="FFFFFF"/>
        </w:rPr>
        <w:t xml:space="preserve"> a</w:t>
      </w:r>
      <w:r w:rsidR="001A12ED" w:rsidRPr="00BE0280">
        <w:rPr>
          <w:rFonts w:ascii="Times New Roman" w:hAnsi="Times New Roman" w:cs="Times New Roman"/>
          <w:color w:val="2F2F2F"/>
          <w:spacing w:val="8"/>
          <w:sz w:val="24"/>
          <w:szCs w:val="24"/>
          <w:shd w:val="clear" w:color="auto" w:fill="FFFFFF"/>
        </w:rPr>
        <w:t>dditio</w:t>
      </w:r>
      <w:r w:rsidR="00526E7C" w:rsidRPr="00BE0280">
        <w:rPr>
          <w:rFonts w:ascii="Times New Roman" w:hAnsi="Times New Roman" w:cs="Times New Roman"/>
          <w:color w:val="2F2F2F"/>
          <w:spacing w:val="8"/>
          <w:sz w:val="24"/>
          <w:szCs w:val="24"/>
          <w:shd w:val="clear" w:color="auto" w:fill="FFFFFF"/>
        </w:rPr>
        <w:t>n to failing the Canadian public,</w:t>
      </w:r>
      <w:r w:rsidR="00846A0A" w:rsidRPr="00BE0280">
        <w:rPr>
          <w:rFonts w:ascii="Times New Roman" w:hAnsi="Times New Roman" w:cs="Times New Roman"/>
          <w:color w:val="2F2F2F"/>
          <w:spacing w:val="8"/>
          <w:sz w:val="24"/>
          <w:szCs w:val="24"/>
          <w:shd w:val="clear" w:color="auto" w:fill="FFFFFF"/>
        </w:rPr>
        <w:t xml:space="preserve"> </w:t>
      </w:r>
      <w:r w:rsidR="002D5369">
        <w:rPr>
          <w:rFonts w:ascii="Times New Roman" w:hAnsi="Times New Roman" w:cs="Times New Roman"/>
          <w:color w:val="2F2F2F"/>
          <w:spacing w:val="8"/>
          <w:sz w:val="24"/>
          <w:szCs w:val="24"/>
          <w:shd w:val="clear" w:color="auto" w:fill="FFFFFF"/>
        </w:rPr>
        <w:t xml:space="preserve">as in the criminal context, </w:t>
      </w:r>
      <w:r w:rsidR="00846A0A" w:rsidRPr="00BE0280">
        <w:rPr>
          <w:rFonts w:ascii="Times New Roman" w:hAnsi="Times New Roman" w:cs="Times New Roman"/>
          <w:color w:val="2F2F2F"/>
          <w:spacing w:val="8"/>
          <w:sz w:val="24"/>
          <w:szCs w:val="24"/>
          <w:shd w:val="clear" w:color="auto" w:fill="FFFFFF"/>
        </w:rPr>
        <w:t xml:space="preserve">I would add that the </w:t>
      </w:r>
      <w:r w:rsidR="001A12ED" w:rsidRPr="00BE0280">
        <w:rPr>
          <w:rFonts w:ascii="Times New Roman" w:hAnsi="Times New Roman" w:cs="Times New Roman"/>
          <w:color w:val="2F2F2F"/>
          <w:spacing w:val="8"/>
          <w:sz w:val="24"/>
          <w:szCs w:val="24"/>
          <w:shd w:val="clear" w:color="auto" w:fill="FFFFFF"/>
        </w:rPr>
        <w:t xml:space="preserve">impartial </w:t>
      </w:r>
      <w:r w:rsidRPr="00BE0280">
        <w:rPr>
          <w:rFonts w:ascii="Times New Roman" w:hAnsi="Times New Roman" w:cs="Times New Roman"/>
          <w:color w:val="2F2F2F"/>
          <w:spacing w:val="8"/>
          <w:sz w:val="24"/>
          <w:szCs w:val="24"/>
          <w:shd w:val="clear" w:color="auto" w:fill="FFFFFF"/>
        </w:rPr>
        <w:t xml:space="preserve">judgements </w:t>
      </w:r>
      <w:r w:rsidR="002D5369">
        <w:rPr>
          <w:rFonts w:ascii="Times New Roman" w:hAnsi="Times New Roman" w:cs="Times New Roman"/>
          <w:color w:val="2F2F2F"/>
          <w:spacing w:val="8"/>
          <w:sz w:val="24"/>
          <w:szCs w:val="24"/>
          <w:shd w:val="clear" w:color="auto" w:fill="FFFFFF"/>
        </w:rPr>
        <w:t xml:space="preserve">in the family civil context </w:t>
      </w:r>
      <w:r w:rsidR="00526E7C" w:rsidRPr="00BE0280">
        <w:rPr>
          <w:rFonts w:ascii="Times New Roman" w:hAnsi="Times New Roman" w:cs="Times New Roman"/>
          <w:color w:val="2F2F2F"/>
          <w:spacing w:val="8"/>
          <w:sz w:val="24"/>
          <w:szCs w:val="24"/>
          <w:shd w:val="clear" w:color="auto" w:fill="FFFFFF"/>
        </w:rPr>
        <w:t>are failing</w:t>
      </w:r>
      <w:r w:rsidR="001A12ED" w:rsidRPr="00BE0280">
        <w:rPr>
          <w:rFonts w:ascii="Times New Roman" w:hAnsi="Times New Roman" w:cs="Times New Roman"/>
          <w:color w:val="2F2F2F"/>
          <w:spacing w:val="8"/>
          <w:sz w:val="24"/>
          <w:szCs w:val="24"/>
          <w:shd w:val="clear" w:color="auto" w:fill="FFFFFF"/>
        </w:rPr>
        <w:t xml:space="preserve"> our most vulnerable member of society: </w:t>
      </w:r>
      <w:r w:rsidR="001A12ED" w:rsidRPr="00BE0280">
        <w:rPr>
          <w:rFonts w:ascii="Times New Roman" w:hAnsi="Times New Roman" w:cs="Times New Roman"/>
          <w:b/>
          <w:bCs/>
          <w:color w:val="2F2F2F"/>
          <w:spacing w:val="8"/>
          <w:sz w:val="24"/>
          <w:szCs w:val="24"/>
          <w:shd w:val="clear" w:color="auto" w:fill="FFFFFF"/>
        </w:rPr>
        <w:t>our children</w:t>
      </w:r>
      <w:r w:rsidR="001A12ED" w:rsidRPr="00BE0280">
        <w:rPr>
          <w:rFonts w:ascii="Times New Roman" w:hAnsi="Times New Roman" w:cs="Times New Roman"/>
          <w:color w:val="2F2F2F"/>
          <w:spacing w:val="8"/>
          <w:sz w:val="24"/>
          <w:szCs w:val="24"/>
          <w:shd w:val="clear" w:color="auto" w:fill="FFFFFF"/>
        </w:rPr>
        <w:t>.</w:t>
      </w:r>
    </w:p>
    <w:p w14:paraId="07526A63" w14:textId="29E058D2" w:rsidR="001A12ED" w:rsidRPr="00BE0280" w:rsidRDefault="0082248C" w:rsidP="00C63FC5">
      <w:pPr>
        <w:jc w:val="both"/>
        <w:rPr>
          <w:rFonts w:ascii="Times New Roman" w:hAnsi="Times New Roman" w:cs="Times New Roman"/>
          <w:color w:val="2F2F2F"/>
          <w:spacing w:val="8"/>
          <w:sz w:val="24"/>
          <w:szCs w:val="24"/>
          <w:shd w:val="clear" w:color="auto" w:fill="FFFFFF"/>
        </w:rPr>
      </w:pPr>
      <w:r w:rsidRPr="00BE0280">
        <w:rPr>
          <w:rFonts w:ascii="Times New Roman" w:hAnsi="Times New Roman" w:cs="Times New Roman"/>
          <w:color w:val="2F2F2F"/>
          <w:spacing w:val="8"/>
          <w:sz w:val="24"/>
          <w:szCs w:val="24"/>
          <w:shd w:val="clear" w:color="auto" w:fill="FFFFFF"/>
        </w:rPr>
        <w:t>Following the declaration of the COVID</w:t>
      </w:r>
      <w:r w:rsidR="00397FB3">
        <w:rPr>
          <w:rFonts w:ascii="Times New Roman" w:hAnsi="Times New Roman" w:cs="Times New Roman"/>
          <w:color w:val="2F2F2F"/>
          <w:spacing w:val="8"/>
          <w:sz w:val="24"/>
          <w:szCs w:val="24"/>
          <w:shd w:val="clear" w:color="auto" w:fill="FFFFFF"/>
        </w:rPr>
        <w:t>-</w:t>
      </w:r>
      <w:r w:rsidRPr="00BE0280">
        <w:rPr>
          <w:rFonts w:ascii="Times New Roman" w:hAnsi="Times New Roman" w:cs="Times New Roman"/>
          <w:color w:val="2F2F2F"/>
          <w:spacing w:val="8"/>
          <w:sz w:val="24"/>
          <w:szCs w:val="24"/>
          <w:shd w:val="clear" w:color="auto" w:fill="FFFFFF"/>
        </w:rPr>
        <w:t>19 pandemic since February 2020 disputing parents around the world have asked the Courts to resolve the question: “Is it in the best interests of the child to assign COVID</w:t>
      </w:r>
      <w:r w:rsidR="00397FB3">
        <w:rPr>
          <w:rFonts w:ascii="Times New Roman" w:hAnsi="Times New Roman" w:cs="Times New Roman"/>
          <w:color w:val="2F2F2F"/>
          <w:spacing w:val="8"/>
          <w:sz w:val="24"/>
          <w:szCs w:val="24"/>
          <w:shd w:val="clear" w:color="auto" w:fill="FFFFFF"/>
        </w:rPr>
        <w:t>-</w:t>
      </w:r>
      <w:r w:rsidRPr="00BE0280">
        <w:rPr>
          <w:rFonts w:ascii="Times New Roman" w:hAnsi="Times New Roman" w:cs="Times New Roman"/>
          <w:color w:val="2F2F2F"/>
          <w:spacing w:val="8"/>
          <w:sz w:val="24"/>
          <w:szCs w:val="24"/>
          <w:shd w:val="clear" w:color="auto" w:fill="FFFFFF"/>
        </w:rPr>
        <w:t xml:space="preserve">19 decision making authority to the mother or the father?” Unfortunately, in answering this important question the Courts have, for the most part, taken the liberty of imposing their own views </w:t>
      </w:r>
      <w:r w:rsidR="009557F6" w:rsidRPr="00BE0280">
        <w:rPr>
          <w:rFonts w:ascii="Times New Roman" w:hAnsi="Times New Roman" w:cs="Times New Roman"/>
          <w:color w:val="2F2F2F"/>
          <w:spacing w:val="8"/>
          <w:sz w:val="24"/>
          <w:szCs w:val="24"/>
          <w:shd w:val="clear" w:color="auto" w:fill="FFFFFF"/>
        </w:rPr>
        <w:t>about</w:t>
      </w:r>
      <w:r w:rsidRPr="00BE0280">
        <w:rPr>
          <w:rFonts w:ascii="Times New Roman" w:hAnsi="Times New Roman" w:cs="Times New Roman"/>
          <w:color w:val="2F2F2F"/>
          <w:spacing w:val="8"/>
          <w:sz w:val="24"/>
          <w:szCs w:val="24"/>
          <w:shd w:val="clear" w:color="auto" w:fill="FFFFFF"/>
        </w:rPr>
        <w:t xml:space="preserve"> COVID</w:t>
      </w:r>
      <w:r w:rsidR="00397FB3">
        <w:rPr>
          <w:rFonts w:ascii="Times New Roman" w:hAnsi="Times New Roman" w:cs="Times New Roman"/>
          <w:color w:val="2F2F2F"/>
          <w:spacing w:val="8"/>
          <w:sz w:val="24"/>
          <w:szCs w:val="24"/>
          <w:shd w:val="clear" w:color="auto" w:fill="FFFFFF"/>
        </w:rPr>
        <w:t>-</w:t>
      </w:r>
      <w:r w:rsidRPr="00BE0280">
        <w:rPr>
          <w:rFonts w:ascii="Times New Roman" w:hAnsi="Times New Roman" w:cs="Times New Roman"/>
          <w:color w:val="2F2F2F"/>
          <w:spacing w:val="8"/>
          <w:sz w:val="24"/>
          <w:szCs w:val="24"/>
          <w:shd w:val="clear" w:color="auto" w:fill="FFFFFF"/>
        </w:rPr>
        <w:t>19 “vaccines”</w:t>
      </w:r>
      <w:r w:rsidR="009557F6" w:rsidRPr="00BE0280">
        <w:rPr>
          <w:rFonts w:ascii="Times New Roman" w:hAnsi="Times New Roman" w:cs="Times New Roman"/>
          <w:color w:val="2F2F2F"/>
          <w:spacing w:val="8"/>
          <w:sz w:val="24"/>
          <w:szCs w:val="24"/>
          <w:shd w:val="clear" w:color="auto" w:fill="FFFFFF"/>
        </w:rPr>
        <w:t xml:space="preserve"> in their decisions</w:t>
      </w:r>
      <w:r w:rsidRPr="00BE0280">
        <w:rPr>
          <w:rFonts w:ascii="Times New Roman" w:hAnsi="Times New Roman" w:cs="Times New Roman"/>
          <w:color w:val="2F2F2F"/>
          <w:spacing w:val="8"/>
          <w:sz w:val="24"/>
          <w:szCs w:val="24"/>
          <w:shd w:val="clear" w:color="auto" w:fill="FFFFFF"/>
        </w:rPr>
        <w:t xml:space="preserve"> under the guise of “judicial notice”</w:t>
      </w:r>
      <w:r w:rsidR="002D5369">
        <w:rPr>
          <w:rFonts w:ascii="Times New Roman" w:hAnsi="Times New Roman" w:cs="Times New Roman"/>
          <w:color w:val="2F2F2F"/>
          <w:spacing w:val="8"/>
          <w:sz w:val="24"/>
          <w:szCs w:val="24"/>
          <w:shd w:val="clear" w:color="auto" w:fill="FFFFFF"/>
        </w:rPr>
        <w:t>.</w:t>
      </w:r>
      <w:r w:rsidR="00526E7C" w:rsidRPr="00BE0280">
        <w:rPr>
          <w:rFonts w:ascii="Times New Roman" w:hAnsi="Times New Roman" w:cs="Times New Roman"/>
          <w:color w:val="2F2F2F"/>
          <w:spacing w:val="8"/>
          <w:sz w:val="24"/>
          <w:szCs w:val="24"/>
          <w:shd w:val="clear" w:color="auto" w:fill="FFFFFF"/>
        </w:rPr>
        <w:t xml:space="preserve"> </w:t>
      </w:r>
      <w:r w:rsidR="001A12ED" w:rsidRPr="00BE0280">
        <w:rPr>
          <w:rFonts w:ascii="Times New Roman" w:hAnsi="Times New Roman" w:cs="Times New Roman"/>
          <w:color w:val="2F2F2F"/>
          <w:spacing w:val="8"/>
          <w:sz w:val="24"/>
          <w:szCs w:val="24"/>
          <w:shd w:val="clear" w:color="auto" w:fill="FFFFFF"/>
        </w:rPr>
        <w:t xml:space="preserve">  </w:t>
      </w:r>
    </w:p>
    <w:p w14:paraId="13DBE410" w14:textId="1AB97ADF" w:rsidR="00846A0A" w:rsidRPr="00BE0280" w:rsidRDefault="0082248C" w:rsidP="00C63FC5">
      <w:pPr>
        <w:jc w:val="both"/>
        <w:rPr>
          <w:rFonts w:ascii="Times New Roman" w:hAnsi="Times New Roman" w:cs="Times New Roman"/>
          <w:color w:val="2F2F2F"/>
          <w:spacing w:val="8"/>
          <w:sz w:val="24"/>
          <w:szCs w:val="24"/>
          <w:shd w:val="clear" w:color="auto" w:fill="FFFFFF"/>
        </w:rPr>
      </w:pPr>
      <w:r w:rsidRPr="00BE0280">
        <w:rPr>
          <w:rFonts w:ascii="Times New Roman" w:hAnsi="Times New Roman" w:cs="Times New Roman"/>
          <w:color w:val="2F2F2F"/>
          <w:spacing w:val="8"/>
          <w:sz w:val="24"/>
          <w:szCs w:val="24"/>
          <w:shd w:val="clear" w:color="auto" w:fill="FFFFFF"/>
        </w:rPr>
        <w:t xml:space="preserve">Judicial notice is a legal doctrine that allows a judge to assume a fact as truth without proof of evidence. Judicial notice </w:t>
      </w:r>
      <w:r w:rsidR="00EE24DF" w:rsidRPr="00BE0280">
        <w:rPr>
          <w:rFonts w:ascii="Times New Roman" w:hAnsi="Times New Roman" w:cs="Times New Roman"/>
          <w:color w:val="2F2F2F"/>
          <w:spacing w:val="8"/>
          <w:sz w:val="24"/>
          <w:szCs w:val="24"/>
          <w:shd w:val="clear" w:color="auto" w:fill="FFFFFF"/>
        </w:rPr>
        <w:t xml:space="preserve">is </w:t>
      </w:r>
      <w:r w:rsidRPr="00BE0280">
        <w:rPr>
          <w:rFonts w:ascii="Times New Roman" w:hAnsi="Times New Roman" w:cs="Times New Roman"/>
          <w:i/>
          <w:iCs/>
          <w:color w:val="2F2F2F"/>
          <w:spacing w:val="8"/>
          <w:sz w:val="24"/>
          <w:szCs w:val="24"/>
          <w:u w:val="single"/>
          <w:shd w:val="clear" w:color="auto" w:fill="FFFFFF"/>
        </w:rPr>
        <w:t>rarely</w:t>
      </w:r>
      <w:r w:rsidRPr="00BE0280">
        <w:rPr>
          <w:rFonts w:ascii="Times New Roman" w:hAnsi="Times New Roman" w:cs="Times New Roman"/>
          <w:color w:val="2F2F2F"/>
          <w:spacing w:val="8"/>
          <w:sz w:val="24"/>
          <w:szCs w:val="24"/>
          <w:shd w:val="clear" w:color="auto" w:fill="FFFFFF"/>
        </w:rPr>
        <w:t xml:space="preserve"> used </w:t>
      </w:r>
      <w:r w:rsidR="00EE24DF" w:rsidRPr="00BE0280">
        <w:rPr>
          <w:rFonts w:ascii="Times New Roman" w:hAnsi="Times New Roman" w:cs="Times New Roman"/>
          <w:color w:val="2F2F2F"/>
          <w:spacing w:val="8"/>
          <w:sz w:val="24"/>
          <w:szCs w:val="24"/>
          <w:shd w:val="clear" w:color="auto" w:fill="FFFFFF"/>
        </w:rPr>
        <w:t>in Court and for good reason</w:t>
      </w:r>
      <w:r w:rsidR="009557F6" w:rsidRPr="00BE0280">
        <w:rPr>
          <w:rFonts w:ascii="Times New Roman" w:hAnsi="Times New Roman" w:cs="Times New Roman"/>
          <w:color w:val="2F2F2F"/>
          <w:spacing w:val="8"/>
          <w:sz w:val="24"/>
          <w:szCs w:val="24"/>
          <w:shd w:val="clear" w:color="auto" w:fill="FFFFFF"/>
        </w:rPr>
        <w:t>:</w:t>
      </w:r>
      <w:r w:rsidR="00EE24DF" w:rsidRPr="00BE0280">
        <w:rPr>
          <w:rFonts w:ascii="Times New Roman" w:hAnsi="Times New Roman" w:cs="Times New Roman"/>
          <w:color w:val="2F2F2F"/>
          <w:spacing w:val="8"/>
          <w:sz w:val="24"/>
          <w:szCs w:val="24"/>
          <w:shd w:val="clear" w:color="auto" w:fill="FFFFFF"/>
        </w:rPr>
        <w:t xml:space="preserve"> Judicial notice</w:t>
      </w:r>
      <w:r w:rsidR="009557F6" w:rsidRPr="00BE0280">
        <w:rPr>
          <w:rFonts w:ascii="Times New Roman" w:hAnsi="Times New Roman" w:cs="Times New Roman"/>
          <w:color w:val="2F2F2F"/>
          <w:spacing w:val="8"/>
          <w:sz w:val="24"/>
          <w:szCs w:val="24"/>
          <w:shd w:val="clear" w:color="auto" w:fill="FFFFFF"/>
        </w:rPr>
        <w:t xml:space="preserve"> </w:t>
      </w:r>
      <w:proofErr w:type="spellStart"/>
      <w:r w:rsidR="009557F6" w:rsidRPr="00BE0280">
        <w:rPr>
          <w:rFonts w:ascii="Times New Roman" w:hAnsi="Times New Roman" w:cs="Times New Roman"/>
          <w:color w:val="2F2F2F"/>
          <w:spacing w:val="8"/>
          <w:sz w:val="24"/>
          <w:szCs w:val="24"/>
          <w:shd w:val="clear" w:color="auto" w:fill="FFFFFF"/>
        </w:rPr>
        <w:t>i</w:t>
      </w:r>
      <w:proofErr w:type="spellEnd"/>
      <w:r w:rsidR="009557F6" w:rsidRPr="00BE0280">
        <w:rPr>
          <w:rFonts w:ascii="Times New Roman" w:hAnsi="Times New Roman" w:cs="Times New Roman"/>
          <w:color w:val="2F2F2F"/>
          <w:spacing w:val="8"/>
          <w:sz w:val="24"/>
          <w:szCs w:val="24"/>
          <w:shd w:val="clear" w:color="auto" w:fill="FFFFFF"/>
        </w:rPr>
        <w:t>)</w:t>
      </w:r>
      <w:r w:rsidR="00EE24DF" w:rsidRPr="00BE0280">
        <w:rPr>
          <w:rFonts w:ascii="Times New Roman" w:hAnsi="Times New Roman" w:cs="Times New Roman"/>
          <w:color w:val="2F2F2F"/>
          <w:spacing w:val="8"/>
          <w:sz w:val="24"/>
          <w:szCs w:val="24"/>
          <w:shd w:val="clear" w:color="auto" w:fill="FFFFFF"/>
        </w:rPr>
        <w:t xml:space="preserve"> dispenses with the need for proof of facts</w:t>
      </w:r>
      <w:r w:rsidR="00846A0A" w:rsidRPr="00BE0280">
        <w:rPr>
          <w:rFonts w:ascii="Times New Roman" w:hAnsi="Times New Roman" w:cs="Times New Roman"/>
          <w:color w:val="2F2F2F"/>
          <w:spacing w:val="8"/>
          <w:sz w:val="24"/>
          <w:szCs w:val="24"/>
          <w:shd w:val="clear" w:color="auto" w:fill="FFFFFF"/>
        </w:rPr>
        <w:t xml:space="preserve">, </w:t>
      </w:r>
      <w:r w:rsidR="009557F6" w:rsidRPr="00BE0280">
        <w:rPr>
          <w:rFonts w:ascii="Times New Roman" w:hAnsi="Times New Roman" w:cs="Times New Roman"/>
          <w:color w:val="2F2F2F"/>
          <w:spacing w:val="8"/>
          <w:sz w:val="24"/>
          <w:szCs w:val="24"/>
          <w:shd w:val="clear" w:color="auto" w:fill="FFFFFF"/>
        </w:rPr>
        <w:t xml:space="preserve">ii) </w:t>
      </w:r>
      <w:r w:rsidR="00846A0A" w:rsidRPr="00BE0280">
        <w:rPr>
          <w:rFonts w:ascii="Times New Roman" w:hAnsi="Times New Roman" w:cs="Times New Roman"/>
          <w:color w:val="2F2F2F"/>
          <w:spacing w:val="8"/>
          <w:sz w:val="24"/>
          <w:szCs w:val="24"/>
          <w:shd w:val="clear" w:color="auto" w:fill="FFFFFF"/>
        </w:rPr>
        <w:t>it does not require proof by evidence under oath and</w:t>
      </w:r>
      <w:r w:rsidR="009557F6" w:rsidRPr="00BE0280">
        <w:rPr>
          <w:rFonts w:ascii="Times New Roman" w:hAnsi="Times New Roman" w:cs="Times New Roman"/>
          <w:color w:val="2F2F2F"/>
          <w:spacing w:val="8"/>
          <w:sz w:val="24"/>
          <w:szCs w:val="24"/>
          <w:shd w:val="clear" w:color="auto" w:fill="FFFFFF"/>
        </w:rPr>
        <w:t xml:space="preserve"> iii)</w:t>
      </w:r>
      <w:r w:rsidR="00846A0A" w:rsidRPr="00BE0280">
        <w:rPr>
          <w:rFonts w:ascii="Times New Roman" w:hAnsi="Times New Roman" w:cs="Times New Roman"/>
          <w:color w:val="2F2F2F"/>
          <w:spacing w:val="8"/>
          <w:sz w:val="24"/>
          <w:szCs w:val="24"/>
          <w:shd w:val="clear" w:color="auto" w:fill="FFFFFF"/>
        </w:rPr>
        <w:t xml:space="preserve"> is it not tested by cross examination.</w:t>
      </w:r>
      <w:r w:rsidR="00CE36AA" w:rsidRPr="00BE0280">
        <w:rPr>
          <w:rStyle w:val="FootnoteReference"/>
          <w:rFonts w:ascii="Times New Roman" w:hAnsi="Times New Roman" w:cs="Times New Roman"/>
          <w:color w:val="2F2F2F"/>
          <w:spacing w:val="8"/>
          <w:sz w:val="24"/>
          <w:szCs w:val="24"/>
          <w:shd w:val="clear" w:color="auto" w:fill="FFFFFF"/>
        </w:rPr>
        <w:footnoteReference w:id="2"/>
      </w:r>
      <w:r w:rsidR="00846A0A" w:rsidRPr="00BE0280">
        <w:rPr>
          <w:rFonts w:ascii="Times New Roman" w:hAnsi="Times New Roman" w:cs="Times New Roman"/>
          <w:color w:val="2F2F2F"/>
          <w:spacing w:val="8"/>
          <w:sz w:val="24"/>
          <w:szCs w:val="24"/>
          <w:shd w:val="clear" w:color="auto" w:fill="FFFFFF"/>
        </w:rPr>
        <w:t xml:space="preserve"> All</w:t>
      </w:r>
      <w:r w:rsidR="009557F6" w:rsidRPr="00BE0280">
        <w:rPr>
          <w:rFonts w:ascii="Times New Roman" w:hAnsi="Times New Roman" w:cs="Times New Roman"/>
          <w:color w:val="2F2F2F"/>
          <w:spacing w:val="8"/>
          <w:sz w:val="24"/>
          <w:szCs w:val="24"/>
          <w:shd w:val="clear" w:color="auto" w:fill="FFFFFF"/>
        </w:rPr>
        <w:t xml:space="preserve"> th</w:t>
      </w:r>
      <w:r w:rsidR="009F1404" w:rsidRPr="00BE0280">
        <w:rPr>
          <w:rFonts w:ascii="Times New Roman" w:hAnsi="Times New Roman" w:cs="Times New Roman"/>
          <w:color w:val="2F2F2F"/>
          <w:spacing w:val="8"/>
          <w:sz w:val="24"/>
          <w:szCs w:val="24"/>
          <w:shd w:val="clear" w:color="auto" w:fill="FFFFFF"/>
        </w:rPr>
        <w:t>ree</w:t>
      </w:r>
      <w:r w:rsidR="009557F6" w:rsidRPr="00BE0280">
        <w:rPr>
          <w:rFonts w:ascii="Times New Roman" w:hAnsi="Times New Roman" w:cs="Times New Roman"/>
          <w:color w:val="2F2F2F"/>
          <w:spacing w:val="8"/>
          <w:sz w:val="24"/>
          <w:szCs w:val="24"/>
          <w:shd w:val="clear" w:color="auto" w:fill="FFFFFF"/>
        </w:rPr>
        <w:t xml:space="preserve"> are</w:t>
      </w:r>
      <w:r w:rsidR="00846A0A" w:rsidRPr="00BE0280">
        <w:rPr>
          <w:rFonts w:ascii="Times New Roman" w:hAnsi="Times New Roman" w:cs="Times New Roman"/>
          <w:color w:val="2F2F2F"/>
          <w:spacing w:val="8"/>
          <w:sz w:val="24"/>
          <w:szCs w:val="24"/>
          <w:shd w:val="clear" w:color="auto" w:fill="FFFFFF"/>
        </w:rPr>
        <w:t xml:space="preserve"> hallmarks of </w:t>
      </w:r>
      <w:r w:rsidR="009557F6" w:rsidRPr="00BE0280">
        <w:rPr>
          <w:rFonts w:ascii="Times New Roman" w:hAnsi="Times New Roman" w:cs="Times New Roman"/>
          <w:color w:val="2F2F2F"/>
          <w:spacing w:val="8"/>
          <w:sz w:val="24"/>
          <w:szCs w:val="24"/>
          <w:shd w:val="clear" w:color="auto" w:fill="FFFFFF"/>
        </w:rPr>
        <w:t>a fair, independent and impartial</w:t>
      </w:r>
      <w:r w:rsidR="00846A0A" w:rsidRPr="00BE0280">
        <w:rPr>
          <w:rFonts w:ascii="Times New Roman" w:hAnsi="Times New Roman" w:cs="Times New Roman"/>
          <w:color w:val="2F2F2F"/>
          <w:spacing w:val="8"/>
          <w:sz w:val="24"/>
          <w:szCs w:val="24"/>
          <w:shd w:val="clear" w:color="auto" w:fill="FFFFFF"/>
        </w:rPr>
        <w:t xml:space="preserve"> legal system that has evolved over centuries to counter bias. </w:t>
      </w:r>
    </w:p>
    <w:p w14:paraId="1E31286F" w14:textId="3891645E" w:rsidR="0022249B" w:rsidRDefault="00846A0A" w:rsidP="00C63FC5">
      <w:pPr>
        <w:jc w:val="both"/>
        <w:rPr>
          <w:rFonts w:ascii="Times New Roman" w:eastAsia="Times New Roman" w:hAnsi="Times New Roman" w:cs="Times New Roman"/>
          <w:color w:val="000000"/>
          <w:sz w:val="24"/>
          <w:szCs w:val="24"/>
          <w:lang w:eastAsia="en-CA"/>
        </w:rPr>
      </w:pPr>
      <w:r w:rsidRPr="00BE0280">
        <w:rPr>
          <w:rFonts w:ascii="Times New Roman" w:hAnsi="Times New Roman" w:cs="Times New Roman"/>
          <w:color w:val="2F2F2F"/>
          <w:spacing w:val="8"/>
          <w:sz w:val="24"/>
          <w:szCs w:val="24"/>
          <w:shd w:val="clear" w:color="auto" w:fill="FFFFFF"/>
        </w:rPr>
        <w:t>Only facts</w:t>
      </w:r>
      <w:r w:rsidR="00EE24DF" w:rsidRPr="00BE0280">
        <w:rPr>
          <w:rFonts w:ascii="Times New Roman" w:hAnsi="Times New Roman" w:cs="Times New Roman"/>
          <w:color w:val="2F2F2F"/>
          <w:spacing w:val="8"/>
          <w:sz w:val="24"/>
          <w:szCs w:val="24"/>
          <w:shd w:val="clear" w:color="auto" w:fill="FFFFFF"/>
        </w:rPr>
        <w:t xml:space="preserve"> that are </w:t>
      </w:r>
      <w:r w:rsidR="00EE24DF" w:rsidRPr="00BE0280">
        <w:rPr>
          <w:rFonts w:ascii="Times New Roman" w:hAnsi="Times New Roman" w:cs="Times New Roman"/>
          <w:color w:val="2F2F2F"/>
          <w:spacing w:val="8"/>
          <w:sz w:val="24"/>
          <w:szCs w:val="24"/>
          <w:u w:val="single"/>
          <w:shd w:val="clear" w:color="auto" w:fill="FFFFFF"/>
        </w:rPr>
        <w:t>clearly uncontroversial</w:t>
      </w:r>
      <w:r w:rsidR="00EE24DF" w:rsidRPr="00BE0280">
        <w:rPr>
          <w:rFonts w:ascii="Times New Roman" w:hAnsi="Times New Roman" w:cs="Times New Roman"/>
          <w:color w:val="2F2F2F"/>
          <w:spacing w:val="8"/>
          <w:sz w:val="24"/>
          <w:szCs w:val="24"/>
          <w:shd w:val="clear" w:color="auto" w:fill="FFFFFF"/>
        </w:rPr>
        <w:t xml:space="preserve"> or </w:t>
      </w:r>
      <w:r w:rsidR="00EE24DF" w:rsidRPr="00BE0280">
        <w:rPr>
          <w:rFonts w:ascii="Times New Roman" w:hAnsi="Times New Roman" w:cs="Times New Roman"/>
          <w:color w:val="2F2F2F"/>
          <w:spacing w:val="8"/>
          <w:sz w:val="24"/>
          <w:szCs w:val="24"/>
          <w:u w:val="single"/>
          <w:shd w:val="clear" w:color="auto" w:fill="FFFFFF"/>
        </w:rPr>
        <w:t>beyond reasonable dispute</w:t>
      </w:r>
      <w:r w:rsidRPr="00BE0280">
        <w:rPr>
          <w:rFonts w:ascii="Times New Roman" w:hAnsi="Times New Roman" w:cs="Times New Roman"/>
          <w:color w:val="2F2F2F"/>
          <w:spacing w:val="8"/>
          <w:sz w:val="24"/>
          <w:szCs w:val="24"/>
          <w:shd w:val="clear" w:color="auto" w:fill="FFFFFF"/>
        </w:rPr>
        <w:t xml:space="preserve"> can be judicially noticed.</w:t>
      </w:r>
      <w:r w:rsidR="009F1404" w:rsidRPr="00BE0280">
        <w:rPr>
          <w:rFonts w:ascii="Times New Roman" w:hAnsi="Times New Roman" w:cs="Times New Roman"/>
          <w:color w:val="2F2F2F"/>
          <w:spacing w:val="8"/>
          <w:sz w:val="24"/>
          <w:szCs w:val="24"/>
          <w:shd w:val="clear" w:color="auto" w:fill="FFFFFF"/>
        </w:rPr>
        <w:t xml:space="preserve"> </w:t>
      </w:r>
      <w:r w:rsidRPr="00BE0280">
        <w:rPr>
          <w:rFonts w:ascii="Times New Roman" w:hAnsi="Times New Roman" w:cs="Times New Roman"/>
          <w:color w:val="2F2F2F"/>
          <w:spacing w:val="8"/>
          <w:sz w:val="24"/>
          <w:szCs w:val="24"/>
          <w:shd w:val="clear" w:color="auto" w:fill="FFFFFF"/>
        </w:rPr>
        <w:t>Yet</w:t>
      </w:r>
      <w:r w:rsidR="009557F6" w:rsidRPr="00BE0280">
        <w:rPr>
          <w:rFonts w:ascii="Times New Roman" w:hAnsi="Times New Roman" w:cs="Times New Roman"/>
          <w:color w:val="2F2F2F"/>
          <w:spacing w:val="8"/>
          <w:sz w:val="24"/>
          <w:szCs w:val="24"/>
          <w:shd w:val="clear" w:color="auto" w:fill="FFFFFF"/>
        </w:rPr>
        <w:t>,</w:t>
      </w:r>
      <w:r w:rsidRPr="00BE0280">
        <w:rPr>
          <w:rFonts w:ascii="Times New Roman" w:hAnsi="Times New Roman" w:cs="Times New Roman"/>
          <w:color w:val="2F2F2F"/>
          <w:spacing w:val="8"/>
          <w:sz w:val="24"/>
          <w:szCs w:val="24"/>
          <w:shd w:val="clear" w:color="auto" w:fill="FFFFFF"/>
        </w:rPr>
        <w:t xml:space="preserve"> in family law </w:t>
      </w:r>
      <w:r w:rsidR="009557F6" w:rsidRPr="00BE0280">
        <w:rPr>
          <w:rFonts w:ascii="Times New Roman" w:hAnsi="Times New Roman" w:cs="Times New Roman"/>
          <w:color w:val="2F2F2F"/>
          <w:spacing w:val="8"/>
          <w:sz w:val="24"/>
          <w:szCs w:val="24"/>
          <w:shd w:val="clear" w:color="auto" w:fill="FFFFFF"/>
        </w:rPr>
        <w:t xml:space="preserve">cases </w:t>
      </w:r>
      <w:r w:rsidRPr="00BE0280">
        <w:rPr>
          <w:rFonts w:ascii="Times New Roman" w:hAnsi="Times New Roman" w:cs="Times New Roman"/>
          <w:color w:val="2F2F2F"/>
          <w:spacing w:val="8"/>
          <w:sz w:val="24"/>
          <w:szCs w:val="24"/>
          <w:shd w:val="clear" w:color="auto" w:fill="FFFFFF"/>
        </w:rPr>
        <w:t>where one parent w</w:t>
      </w:r>
      <w:r w:rsidR="009557F6" w:rsidRPr="00BE0280">
        <w:rPr>
          <w:rFonts w:ascii="Times New Roman" w:hAnsi="Times New Roman" w:cs="Times New Roman"/>
          <w:color w:val="2F2F2F"/>
          <w:spacing w:val="8"/>
          <w:sz w:val="24"/>
          <w:szCs w:val="24"/>
          <w:shd w:val="clear" w:color="auto" w:fill="FFFFFF"/>
        </w:rPr>
        <w:t xml:space="preserve">ishes </w:t>
      </w:r>
      <w:r w:rsidRPr="00BE0280">
        <w:rPr>
          <w:rFonts w:ascii="Times New Roman" w:hAnsi="Times New Roman" w:cs="Times New Roman"/>
          <w:color w:val="2F2F2F"/>
          <w:spacing w:val="8"/>
          <w:sz w:val="24"/>
          <w:szCs w:val="24"/>
          <w:shd w:val="clear" w:color="auto" w:fill="FFFFFF"/>
        </w:rPr>
        <w:t>to forcibly “vaccinate” a child and the other adamantly oppos</w:t>
      </w:r>
      <w:r w:rsidR="009557F6" w:rsidRPr="00BE0280">
        <w:rPr>
          <w:rFonts w:ascii="Times New Roman" w:hAnsi="Times New Roman" w:cs="Times New Roman"/>
          <w:color w:val="2F2F2F"/>
          <w:spacing w:val="8"/>
          <w:sz w:val="24"/>
          <w:szCs w:val="24"/>
          <w:shd w:val="clear" w:color="auto" w:fill="FFFFFF"/>
        </w:rPr>
        <w:t>es</w:t>
      </w:r>
      <w:r w:rsidRPr="00BE0280">
        <w:rPr>
          <w:rFonts w:ascii="Times New Roman" w:hAnsi="Times New Roman" w:cs="Times New Roman"/>
          <w:color w:val="2F2F2F"/>
          <w:spacing w:val="8"/>
          <w:sz w:val="24"/>
          <w:szCs w:val="24"/>
          <w:shd w:val="clear" w:color="auto" w:fill="FFFFFF"/>
        </w:rPr>
        <w:t xml:space="preserve"> i</w:t>
      </w:r>
      <w:r w:rsidR="009557F6" w:rsidRPr="00BE0280">
        <w:rPr>
          <w:rFonts w:ascii="Times New Roman" w:hAnsi="Times New Roman" w:cs="Times New Roman"/>
          <w:color w:val="2F2F2F"/>
          <w:spacing w:val="8"/>
          <w:sz w:val="24"/>
          <w:szCs w:val="24"/>
          <w:shd w:val="clear" w:color="auto" w:fill="FFFFFF"/>
        </w:rPr>
        <w:t>t</w:t>
      </w:r>
      <w:r w:rsidRPr="00BE0280">
        <w:rPr>
          <w:rFonts w:ascii="Times New Roman" w:hAnsi="Times New Roman" w:cs="Times New Roman"/>
          <w:color w:val="2F2F2F"/>
          <w:spacing w:val="8"/>
          <w:sz w:val="24"/>
          <w:szCs w:val="24"/>
          <w:shd w:val="clear" w:color="auto" w:fill="FFFFFF"/>
        </w:rPr>
        <w:t xml:space="preserve"> for COVID</w:t>
      </w:r>
      <w:r w:rsidR="00397FB3">
        <w:rPr>
          <w:rFonts w:ascii="Times New Roman" w:hAnsi="Times New Roman" w:cs="Times New Roman"/>
          <w:color w:val="2F2F2F"/>
          <w:spacing w:val="8"/>
          <w:sz w:val="24"/>
          <w:szCs w:val="24"/>
          <w:shd w:val="clear" w:color="auto" w:fill="FFFFFF"/>
        </w:rPr>
        <w:t>-</w:t>
      </w:r>
      <w:r w:rsidRPr="00BE0280">
        <w:rPr>
          <w:rFonts w:ascii="Times New Roman" w:hAnsi="Times New Roman" w:cs="Times New Roman"/>
          <w:color w:val="2F2F2F"/>
          <w:spacing w:val="8"/>
          <w:sz w:val="24"/>
          <w:szCs w:val="24"/>
          <w:shd w:val="clear" w:color="auto" w:fill="FFFFFF"/>
        </w:rPr>
        <w:t>19</w:t>
      </w:r>
      <w:r w:rsidR="009557F6" w:rsidRPr="00BE0280">
        <w:rPr>
          <w:rFonts w:ascii="Times New Roman" w:hAnsi="Times New Roman" w:cs="Times New Roman"/>
          <w:color w:val="2F2F2F"/>
          <w:spacing w:val="8"/>
          <w:sz w:val="24"/>
          <w:szCs w:val="24"/>
          <w:shd w:val="clear" w:color="auto" w:fill="FFFFFF"/>
        </w:rPr>
        <w:t>,</w:t>
      </w:r>
      <w:r w:rsidRPr="00BE0280">
        <w:rPr>
          <w:rFonts w:ascii="Times New Roman" w:hAnsi="Times New Roman" w:cs="Times New Roman"/>
          <w:color w:val="2F2F2F"/>
          <w:spacing w:val="8"/>
          <w:sz w:val="24"/>
          <w:szCs w:val="24"/>
          <w:shd w:val="clear" w:color="auto" w:fill="FFFFFF"/>
        </w:rPr>
        <w:t xml:space="preserve"> the Courts </w:t>
      </w:r>
      <w:r w:rsidR="009557F6" w:rsidRPr="00BE0280">
        <w:rPr>
          <w:rFonts w:ascii="Times New Roman" w:hAnsi="Times New Roman" w:cs="Times New Roman"/>
          <w:color w:val="2F2F2F"/>
          <w:spacing w:val="8"/>
          <w:sz w:val="24"/>
          <w:szCs w:val="24"/>
          <w:shd w:val="clear" w:color="auto" w:fill="FFFFFF"/>
        </w:rPr>
        <w:t xml:space="preserve">have astonishingly used </w:t>
      </w:r>
      <w:r w:rsidR="009557F6" w:rsidRPr="00BE0280">
        <w:rPr>
          <w:rFonts w:ascii="Times New Roman" w:hAnsi="Times New Roman" w:cs="Times New Roman"/>
          <w:color w:val="2F2F2F"/>
          <w:spacing w:val="8"/>
          <w:sz w:val="24"/>
          <w:szCs w:val="24"/>
          <w:shd w:val="clear" w:color="auto" w:fill="FFFFFF"/>
        </w:rPr>
        <w:lastRenderedPageBreak/>
        <w:t xml:space="preserve">“judicial notice” to accept as truthful facts, which are not only clearly, but </w:t>
      </w:r>
      <w:r w:rsidR="009557F6" w:rsidRPr="00BE0280">
        <w:rPr>
          <w:rFonts w:ascii="Times New Roman" w:hAnsi="Times New Roman" w:cs="Times New Roman"/>
          <w:i/>
          <w:iCs/>
          <w:color w:val="2F2F2F"/>
          <w:spacing w:val="8"/>
          <w:sz w:val="24"/>
          <w:szCs w:val="24"/>
          <w:shd w:val="clear" w:color="auto" w:fill="FFFFFF"/>
        </w:rPr>
        <w:t>highly controversial</w:t>
      </w:r>
      <w:r w:rsidR="009557F6" w:rsidRPr="00BE0280">
        <w:rPr>
          <w:rFonts w:ascii="Times New Roman" w:hAnsi="Times New Roman" w:cs="Times New Roman"/>
          <w:color w:val="2F2F2F"/>
          <w:spacing w:val="8"/>
          <w:sz w:val="24"/>
          <w:szCs w:val="24"/>
          <w:shd w:val="clear" w:color="auto" w:fill="FFFFFF"/>
        </w:rPr>
        <w:t xml:space="preserve"> and not only under reasonable, </w:t>
      </w:r>
      <w:r w:rsidR="009F1404" w:rsidRPr="00BE0280">
        <w:rPr>
          <w:rFonts w:ascii="Times New Roman" w:hAnsi="Times New Roman" w:cs="Times New Roman"/>
          <w:color w:val="2F2F2F"/>
          <w:spacing w:val="8"/>
          <w:sz w:val="24"/>
          <w:szCs w:val="24"/>
          <w:shd w:val="clear" w:color="auto" w:fill="FFFFFF"/>
        </w:rPr>
        <w:t>but</w:t>
      </w:r>
      <w:r w:rsidR="009557F6" w:rsidRPr="00BE0280">
        <w:rPr>
          <w:rFonts w:ascii="Times New Roman" w:hAnsi="Times New Roman" w:cs="Times New Roman"/>
          <w:color w:val="2F2F2F"/>
          <w:spacing w:val="8"/>
          <w:sz w:val="24"/>
          <w:szCs w:val="24"/>
          <w:shd w:val="clear" w:color="auto" w:fill="FFFFFF"/>
        </w:rPr>
        <w:t xml:space="preserve"> </w:t>
      </w:r>
      <w:r w:rsidR="00BE0280" w:rsidRPr="00BE0280">
        <w:rPr>
          <w:rFonts w:ascii="Times New Roman" w:hAnsi="Times New Roman" w:cs="Times New Roman"/>
          <w:color w:val="2F2F2F"/>
          <w:spacing w:val="8"/>
          <w:sz w:val="24"/>
          <w:szCs w:val="24"/>
          <w:shd w:val="clear" w:color="auto" w:fill="FFFFFF"/>
        </w:rPr>
        <w:t xml:space="preserve">intense </w:t>
      </w:r>
      <w:r w:rsidR="009557F6" w:rsidRPr="00BE0280">
        <w:rPr>
          <w:rFonts w:ascii="Times New Roman" w:hAnsi="Times New Roman" w:cs="Times New Roman"/>
          <w:color w:val="2F2F2F"/>
          <w:spacing w:val="8"/>
          <w:sz w:val="24"/>
          <w:szCs w:val="24"/>
          <w:shd w:val="clear" w:color="auto" w:fill="FFFFFF"/>
        </w:rPr>
        <w:t>disput</w:t>
      </w:r>
      <w:r w:rsidR="0022249B">
        <w:rPr>
          <w:rFonts w:ascii="Times New Roman" w:hAnsi="Times New Roman" w:cs="Times New Roman"/>
          <w:color w:val="2F2F2F"/>
          <w:spacing w:val="8"/>
          <w:sz w:val="24"/>
          <w:szCs w:val="24"/>
          <w:shd w:val="clear" w:color="auto" w:fill="FFFFFF"/>
        </w:rPr>
        <w:t>e</w:t>
      </w:r>
      <w:r w:rsidR="002D5369">
        <w:rPr>
          <w:rFonts w:ascii="Times New Roman" w:hAnsi="Times New Roman" w:cs="Times New Roman"/>
          <w:color w:val="2F2F2F"/>
          <w:spacing w:val="8"/>
          <w:sz w:val="24"/>
          <w:szCs w:val="24"/>
          <w:shd w:val="clear" w:color="auto" w:fill="FFFFFF"/>
        </w:rPr>
        <w:t>. For example,</w:t>
      </w:r>
    </w:p>
    <w:p w14:paraId="035D26F9" w14:textId="63052E14" w:rsidR="00BE0280" w:rsidRPr="0022249B" w:rsidRDefault="00BE0280" w:rsidP="00C63FC5">
      <w:pPr>
        <w:pStyle w:val="ListParagraph"/>
        <w:numPr>
          <w:ilvl w:val="0"/>
          <w:numId w:val="1"/>
        </w:numPr>
        <w:jc w:val="both"/>
        <w:rPr>
          <w:rFonts w:ascii="Times New Roman" w:eastAsia="Times New Roman" w:hAnsi="Times New Roman" w:cs="Times New Roman"/>
          <w:color w:val="000000"/>
          <w:sz w:val="24"/>
          <w:szCs w:val="24"/>
          <w:lang w:eastAsia="en-CA"/>
        </w:rPr>
      </w:pPr>
      <w:r w:rsidRPr="0022249B">
        <w:rPr>
          <w:rFonts w:ascii="Times New Roman" w:eastAsia="Times New Roman" w:hAnsi="Times New Roman" w:cs="Times New Roman"/>
          <w:color w:val="000000"/>
          <w:sz w:val="24"/>
          <w:szCs w:val="24"/>
          <w:lang w:eastAsia="en-CA"/>
        </w:rPr>
        <w:t xml:space="preserve">In </w:t>
      </w:r>
      <w:r w:rsidR="009F1404" w:rsidRPr="0022249B">
        <w:rPr>
          <w:rFonts w:ascii="Times New Roman" w:eastAsia="Times New Roman" w:hAnsi="Times New Roman" w:cs="Times New Roman"/>
          <w:color w:val="000000"/>
          <w:sz w:val="24"/>
          <w:szCs w:val="24"/>
          <w:lang w:eastAsia="en-CA"/>
        </w:rPr>
        <w:t>Saskatchewan</w:t>
      </w:r>
      <w:r w:rsidRPr="0022249B">
        <w:rPr>
          <w:rFonts w:ascii="Times New Roman" w:eastAsia="Times New Roman" w:hAnsi="Times New Roman" w:cs="Times New Roman"/>
          <w:color w:val="000000"/>
          <w:sz w:val="24"/>
          <w:szCs w:val="24"/>
          <w:lang w:eastAsia="en-CA"/>
        </w:rPr>
        <w:t xml:space="preserve"> s</w:t>
      </w:r>
      <w:r w:rsidR="009F1404" w:rsidRPr="0022249B">
        <w:rPr>
          <w:rFonts w:ascii="Times New Roman" w:eastAsia="Times New Roman" w:hAnsi="Times New Roman" w:cs="Times New Roman"/>
          <w:color w:val="000000"/>
          <w:sz w:val="24"/>
          <w:szCs w:val="24"/>
          <w:lang w:eastAsia="en-CA"/>
        </w:rPr>
        <w:t>everal courts have taken judicial notice of the fact that it can be presumed that being vaccinated against COVID-19 is in the best interests of children</w:t>
      </w:r>
      <w:r w:rsidRPr="0022249B">
        <w:rPr>
          <w:rFonts w:ascii="Times New Roman" w:eastAsia="Times New Roman" w:hAnsi="Times New Roman" w:cs="Times New Roman"/>
          <w:color w:val="000000"/>
          <w:sz w:val="24"/>
          <w:szCs w:val="24"/>
          <w:lang w:eastAsia="en-CA"/>
        </w:rPr>
        <w:t>.</w:t>
      </w:r>
      <w:r>
        <w:rPr>
          <w:rStyle w:val="FootnoteReference"/>
          <w:rFonts w:ascii="Times New Roman" w:eastAsia="Times New Roman" w:hAnsi="Times New Roman" w:cs="Times New Roman"/>
          <w:color w:val="000000"/>
          <w:sz w:val="24"/>
          <w:szCs w:val="24"/>
          <w:lang w:eastAsia="en-CA"/>
        </w:rPr>
        <w:footnoteReference w:id="3"/>
      </w:r>
      <w:r w:rsidR="0022249B" w:rsidRPr="0022249B">
        <w:rPr>
          <w:rFonts w:ascii="Times New Roman" w:eastAsia="Times New Roman" w:hAnsi="Times New Roman" w:cs="Times New Roman"/>
          <w:color w:val="000000"/>
          <w:sz w:val="24"/>
          <w:szCs w:val="24"/>
          <w:lang w:eastAsia="en-CA"/>
        </w:rPr>
        <w:t>;</w:t>
      </w:r>
    </w:p>
    <w:p w14:paraId="127984CC" w14:textId="17552F75" w:rsidR="00BE0280" w:rsidRDefault="00BE0280" w:rsidP="00C63FC5">
      <w:pPr>
        <w:pStyle w:val="ListParagraph"/>
        <w:numPr>
          <w:ilvl w:val="0"/>
          <w:numId w:val="1"/>
        </w:numPr>
        <w:spacing w:after="240" w:line="240" w:lineRule="auto"/>
        <w:jc w:val="both"/>
        <w:rPr>
          <w:rFonts w:ascii="Times New Roman" w:eastAsia="Times New Roman" w:hAnsi="Times New Roman" w:cs="Times New Roman"/>
          <w:color w:val="000000"/>
          <w:sz w:val="24"/>
          <w:szCs w:val="24"/>
          <w:lang w:eastAsia="en-CA"/>
        </w:rPr>
      </w:pPr>
      <w:r w:rsidRPr="00BE0280">
        <w:rPr>
          <w:rFonts w:ascii="Times New Roman" w:eastAsia="Times New Roman" w:hAnsi="Times New Roman" w:cs="Times New Roman"/>
          <w:color w:val="000000"/>
          <w:sz w:val="24"/>
          <w:szCs w:val="24"/>
          <w:lang w:eastAsia="en-CA"/>
        </w:rPr>
        <w:t xml:space="preserve">Across the country from BC to </w:t>
      </w:r>
      <w:r w:rsidR="0022249B">
        <w:rPr>
          <w:rFonts w:ascii="Times New Roman" w:eastAsia="Times New Roman" w:hAnsi="Times New Roman" w:cs="Times New Roman"/>
          <w:color w:val="000000"/>
          <w:sz w:val="24"/>
          <w:szCs w:val="24"/>
          <w:lang w:eastAsia="en-CA"/>
        </w:rPr>
        <w:t>PEI, j</w:t>
      </w:r>
      <w:r w:rsidR="009F1404" w:rsidRPr="00BE0280">
        <w:rPr>
          <w:rFonts w:ascii="Times New Roman" w:eastAsia="Times New Roman" w:hAnsi="Times New Roman" w:cs="Times New Roman"/>
          <w:color w:val="000000"/>
          <w:sz w:val="24"/>
          <w:szCs w:val="24"/>
          <w:lang w:eastAsia="en-CA"/>
        </w:rPr>
        <w:t>udicial notice has been taken of the fact that contracting COVID-19 poses many serious and significant health risks to children</w:t>
      </w:r>
      <w:r>
        <w:rPr>
          <w:rStyle w:val="FootnoteReference"/>
          <w:rFonts w:ascii="Times New Roman" w:eastAsia="Times New Roman" w:hAnsi="Times New Roman" w:cs="Times New Roman"/>
          <w:color w:val="000000"/>
          <w:sz w:val="24"/>
          <w:szCs w:val="24"/>
          <w:lang w:eastAsia="en-CA"/>
        </w:rPr>
        <w:footnoteReference w:id="4"/>
      </w:r>
      <w:r w:rsidR="0022249B">
        <w:rPr>
          <w:rFonts w:ascii="Times New Roman" w:eastAsia="Times New Roman" w:hAnsi="Times New Roman" w:cs="Times New Roman"/>
          <w:color w:val="000000"/>
          <w:sz w:val="24"/>
          <w:szCs w:val="24"/>
          <w:lang w:eastAsia="en-CA"/>
        </w:rPr>
        <w:t>;</w:t>
      </w:r>
    </w:p>
    <w:p w14:paraId="4C64BD54" w14:textId="19DA48EA" w:rsidR="0022249B" w:rsidRDefault="009F1404" w:rsidP="00C63FC5">
      <w:pPr>
        <w:pStyle w:val="ListParagraph"/>
        <w:numPr>
          <w:ilvl w:val="0"/>
          <w:numId w:val="1"/>
        </w:numPr>
        <w:spacing w:after="240" w:line="240" w:lineRule="auto"/>
        <w:jc w:val="both"/>
        <w:rPr>
          <w:rFonts w:ascii="Times New Roman" w:eastAsia="Times New Roman" w:hAnsi="Times New Roman" w:cs="Times New Roman"/>
          <w:color w:val="000000"/>
          <w:sz w:val="24"/>
          <w:szCs w:val="24"/>
          <w:lang w:eastAsia="en-CA"/>
        </w:rPr>
      </w:pPr>
      <w:r w:rsidRPr="002D5369">
        <w:rPr>
          <w:rFonts w:ascii="Times New Roman" w:eastAsia="Times New Roman" w:hAnsi="Times New Roman" w:cs="Times New Roman"/>
          <w:color w:val="000000"/>
          <w:sz w:val="24"/>
          <w:szCs w:val="24"/>
          <w:lang w:eastAsia="en-CA"/>
        </w:rPr>
        <w:t>Courts have taken judicial notice of the fact that the vaccine is safe</w:t>
      </w:r>
      <w:r w:rsidR="0022249B" w:rsidRPr="002D5369">
        <w:rPr>
          <w:rFonts w:ascii="Times New Roman" w:eastAsia="Times New Roman" w:hAnsi="Times New Roman" w:cs="Times New Roman"/>
          <w:color w:val="000000"/>
          <w:sz w:val="24"/>
          <w:szCs w:val="24"/>
          <w:lang w:eastAsia="en-CA"/>
        </w:rPr>
        <w:t xml:space="preserve"> </w:t>
      </w:r>
      <w:r w:rsidR="0022249B">
        <w:rPr>
          <w:rStyle w:val="FootnoteReference"/>
          <w:rFonts w:ascii="Times New Roman" w:eastAsia="Times New Roman" w:hAnsi="Times New Roman" w:cs="Times New Roman"/>
          <w:color w:val="000000"/>
          <w:sz w:val="24"/>
          <w:szCs w:val="24"/>
          <w:lang w:eastAsia="en-CA"/>
        </w:rPr>
        <w:footnoteReference w:id="5"/>
      </w:r>
      <w:r w:rsidRPr="002D5369">
        <w:rPr>
          <w:rFonts w:ascii="Times New Roman" w:eastAsia="Times New Roman" w:hAnsi="Times New Roman" w:cs="Times New Roman"/>
          <w:color w:val="000000"/>
          <w:sz w:val="24"/>
          <w:szCs w:val="24"/>
          <w:lang w:eastAsia="en-CA"/>
        </w:rPr>
        <w:t>:</w:t>
      </w:r>
    </w:p>
    <w:p w14:paraId="02DFB6DA" w14:textId="73439A9E" w:rsidR="0022249B" w:rsidRDefault="0022249B" w:rsidP="00C63FC5">
      <w:pPr>
        <w:pStyle w:val="ListParagraph"/>
        <w:numPr>
          <w:ilvl w:val="0"/>
          <w:numId w:val="1"/>
        </w:numPr>
        <w:spacing w:after="240" w:line="240" w:lineRule="auto"/>
        <w:jc w:val="both"/>
        <w:rPr>
          <w:rFonts w:ascii="Times New Roman" w:eastAsia="Times New Roman" w:hAnsi="Times New Roman" w:cs="Times New Roman"/>
          <w:color w:val="000000"/>
          <w:sz w:val="24"/>
          <w:szCs w:val="24"/>
          <w:lang w:eastAsia="en-CA"/>
        </w:rPr>
      </w:pPr>
      <w:r w:rsidRPr="002D5369">
        <w:rPr>
          <w:rFonts w:ascii="Times New Roman" w:eastAsia="Times New Roman" w:hAnsi="Times New Roman" w:cs="Times New Roman"/>
          <w:color w:val="000000"/>
          <w:sz w:val="24"/>
          <w:szCs w:val="24"/>
          <w:lang w:eastAsia="en-CA"/>
        </w:rPr>
        <w:t>C</w:t>
      </w:r>
      <w:r w:rsidR="009F1404" w:rsidRPr="002D5369">
        <w:rPr>
          <w:rFonts w:ascii="Times New Roman" w:eastAsia="Times New Roman" w:hAnsi="Times New Roman" w:cs="Times New Roman"/>
          <w:color w:val="000000"/>
          <w:sz w:val="24"/>
          <w:szCs w:val="24"/>
          <w:lang w:eastAsia="en-CA"/>
        </w:rPr>
        <w:t>ourts have taken judicial notice of the fact that the COVID-19 vaccine is effective: </w:t>
      </w:r>
      <w:r>
        <w:rPr>
          <w:rStyle w:val="FootnoteReference"/>
          <w:rFonts w:ascii="Times New Roman" w:eastAsia="Times New Roman" w:hAnsi="Times New Roman" w:cs="Times New Roman"/>
          <w:color w:val="000000"/>
          <w:sz w:val="24"/>
          <w:szCs w:val="24"/>
          <w:lang w:eastAsia="en-CA"/>
        </w:rPr>
        <w:footnoteReference w:id="6"/>
      </w:r>
      <w:r w:rsidR="009F1404" w:rsidRPr="002D5369">
        <w:rPr>
          <w:rFonts w:ascii="Times New Roman" w:eastAsia="Times New Roman" w:hAnsi="Times New Roman" w:cs="Times New Roman"/>
          <w:color w:val="000000"/>
          <w:sz w:val="24"/>
          <w:szCs w:val="24"/>
          <w:lang w:eastAsia="en-CA"/>
        </w:rPr>
        <w:t xml:space="preserve"> </w:t>
      </w:r>
    </w:p>
    <w:p w14:paraId="653F2F0B" w14:textId="0AA9416E" w:rsidR="0022249B" w:rsidRDefault="0022249B" w:rsidP="00C63FC5">
      <w:pPr>
        <w:pStyle w:val="ListParagraph"/>
        <w:numPr>
          <w:ilvl w:val="0"/>
          <w:numId w:val="1"/>
        </w:numPr>
        <w:spacing w:after="240" w:line="240" w:lineRule="auto"/>
        <w:jc w:val="both"/>
        <w:rPr>
          <w:rFonts w:ascii="Times New Roman" w:eastAsia="Times New Roman" w:hAnsi="Times New Roman" w:cs="Times New Roman"/>
          <w:color w:val="000000"/>
          <w:sz w:val="24"/>
          <w:szCs w:val="24"/>
          <w:lang w:eastAsia="en-CA"/>
        </w:rPr>
      </w:pPr>
      <w:r w:rsidRPr="002D5369">
        <w:rPr>
          <w:rFonts w:ascii="Times New Roman" w:eastAsia="Times New Roman" w:hAnsi="Times New Roman" w:cs="Times New Roman"/>
          <w:color w:val="000000"/>
          <w:sz w:val="24"/>
          <w:szCs w:val="24"/>
          <w:lang w:eastAsia="en-CA"/>
        </w:rPr>
        <w:t>C</w:t>
      </w:r>
      <w:r w:rsidR="009F1404" w:rsidRPr="002D5369">
        <w:rPr>
          <w:rFonts w:ascii="Times New Roman" w:eastAsia="Times New Roman" w:hAnsi="Times New Roman" w:cs="Times New Roman"/>
          <w:color w:val="000000"/>
          <w:sz w:val="24"/>
          <w:szCs w:val="24"/>
          <w:lang w:eastAsia="en-CA"/>
        </w:rPr>
        <w:t>ourts have taken judicial notice that the specific Pfizer vaccine is safe and effective for both children and adults</w:t>
      </w:r>
      <w:r w:rsidR="002D5369">
        <w:rPr>
          <w:rFonts w:ascii="Times New Roman" w:eastAsia="Times New Roman" w:hAnsi="Times New Roman" w:cs="Times New Roman"/>
          <w:color w:val="000000"/>
          <w:sz w:val="24"/>
          <w:szCs w:val="24"/>
          <w:lang w:eastAsia="en-CA"/>
        </w:rPr>
        <w:t>;</w:t>
      </w:r>
      <w:r>
        <w:rPr>
          <w:rStyle w:val="FootnoteReference"/>
          <w:rFonts w:ascii="Times New Roman" w:eastAsia="Times New Roman" w:hAnsi="Times New Roman" w:cs="Times New Roman"/>
          <w:color w:val="000000"/>
          <w:sz w:val="24"/>
          <w:szCs w:val="24"/>
          <w:lang w:eastAsia="en-CA"/>
        </w:rPr>
        <w:footnoteReference w:id="7"/>
      </w:r>
      <w:r w:rsidR="009F1404" w:rsidRPr="002D5369">
        <w:rPr>
          <w:rFonts w:ascii="Times New Roman" w:eastAsia="Times New Roman" w:hAnsi="Times New Roman" w:cs="Times New Roman"/>
          <w:color w:val="000000"/>
          <w:sz w:val="24"/>
          <w:szCs w:val="24"/>
          <w:lang w:eastAsia="en-CA"/>
        </w:rPr>
        <w:t xml:space="preserve"> </w:t>
      </w:r>
    </w:p>
    <w:p w14:paraId="135567CF" w14:textId="53A9F897" w:rsidR="009F1404" w:rsidRDefault="0022249B" w:rsidP="00C63FC5">
      <w:pPr>
        <w:pStyle w:val="ListParagraph"/>
        <w:numPr>
          <w:ilvl w:val="0"/>
          <w:numId w:val="1"/>
        </w:numPr>
        <w:spacing w:after="240" w:line="240" w:lineRule="auto"/>
        <w:jc w:val="both"/>
        <w:rPr>
          <w:rFonts w:ascii="Times New Roman" w:eastAsia="Times New Roman" w:hAnsi="Times New Roman" w:cs="Times New Roman"/>
          <w:color w:val="000000"/>
          <w:sz w:val="24"/>
          <w:szCs w:val="24"/>
          <w:lang w:eastAsia="en-CA"/>
        </w:rPr>
      </w:pPr>
      <w:r w:rsidRPr="002D5369">
        <w:rPr>
          <w:rFonts w:ascii="Times New Roman" w:eastAsia="Times New Roman" w:hAnsi="Times New Roman" w:cs="Times New Roman"/>
          <w:color w:val="000000"/>
          <w:sz w:val="24"/>
          <w:szCs w:val="24"/>
          <w:lang w:eastAsia="en-CA"/>
        </w:rPr>
        <w:t>C</w:t>
      </w:r>
      <w:r w:rsidR="009F1404" w:rsidRPr="002D5369">
        <w:rPr>
          <w:rFonts w:ascii="Times New Roman" w:eastAsia="Times New Roman" w:hAnsi="Times New Roman" w:cs="Times New Roman"/>
          <w:color w:val="000000"/>
          <w:sz w:val="24"/>
          <w:szCs w:val="24"/>
          <w:lang w:eastAsia="en-CA"/>
        </w:rPr>
        <w:t>ourts have taken judicial notice of the approval of the Pfizer vaccine by health authorities</w:t>
      </w:r>
      <w:r>
        <w:rPr>
          <w:rStyle w:val="FootnoteReference"/>
          <w:rFonts w:ascii="Times New Roman" w:eastAsia="Times New Roman" w:hAnsi="Times New Roman" w:cs="Times New Roman"/>
          <w:color w:val="000000"/>
          <w:sz w:val="24"/>
          <w:szCs w:val="24"/>
          <w:lang w:eastAsia="en-CA"/>
        </w:rPr>
        <w:footnoteReference w:id="8"/>
      </w:r>
      <w:r w:rsidR="002D5369">
        <w:rPr>
          <w:rFonts w:ascii="Times New Roman" w:eastAsia="Times New Roman" w:hAnsi="Times New Roman" w:cs="Times New Roman"/>
          <w:color w:val="000000"/>
          <w:sz w:val="24"/>
          <w:szCs w:val="24"/>
          <w:lang w:eastAsia="en-CA"/>
        </w:rPr>
        <w:t>;</w:t>
      </w:r>
    </w:p>
    <w:p w14:paraId="0CADA74C" w14:textId="28C88455" w:rsidR="009F1404" w:rsidRPr="002D5369" w:rsidRDefault="0022249B" w:rsidP="00C63FC5">
      <w:pPr>
        <w:pStyle w:val="ListParagraph"/>
        <w:numPr>
          <w:ilvl w:val="0"/>
          <w:numId w:val="1"/>
        </w:numPr>
        <w:spacing w:after="240" w:line="240" w:lineRule="auto"/>
        <w:jc w:val="both"/>
        <w:rPr>
          <w:rFonts w:ascii="Times New Roman" w:eastAsia="Times New Roman" w:hAnsi="Times New Roman" w:cs="Times New Roman"/>
          <w:color w:val="000000"/>
          <w:sz w:val="24"/>
          <w:szCs w:val="24"/>
          <w:lang w:eastAsia="en-CA"/>
        </w:rPr>
      </w:pPr>
      <w:r w:rsidRPr="002D5369">
        <w:rPr>
          <w:rFonts w:ascii="Times New Roman" w:eastAsia="Times New Roman" w:hAnsi="Times New Roman" w:cs="Times New Roman"/>
          <w:color w:val="000000"/>
          <w:sz w:val="24"/>
          <w:szCs w:val="24"/>
          <w:lang w:eastAsia="en-CA"/>
        </w:rPr>
        <w:t>O</w:t>
      </w:r>
      <w:r w:rsidR="009F1404" w:rsidRPr="002D5369">
        <w:rPr>
          <w:rFonts w:ascii="Times New Roman" w:eastAsia="Times New Roman" w:hAnsi="Times New Roman" w:cs="Times New Roman"/>
          <w:color w:val="000000"/>
          <w:sz w:val="24"/>
          <w:szCs w:val="24"/>
          <w:lang w:eastAsia="en-CA"/>
        </w:rPr>
        <w:t>ne reported case where judicial notice has been taken of the risks of the COVID</w:t>
      </w:r>
      <w:r w:rsidR="009F1404" w:rsidRPr="002D5369">
        <w:rPr>
          <w:rFonts w:ascii="Times New Roman" w:eastAsia="Times New Roman" w:hAnsi="Times New Roman" w:cs="Times New Roman"/>
          <w:color w:val="000000"/>
          <w:sz w:val="24"/>
          <w:szCs w:val="24"/>
          <w:lang w:eastAsia="en-CA"/>
        </w:rPr>
        <w:noBreakHyphen/>
        <w:t>19 vaccine</w:t>
      </w:r>
      <w:r w:rsidRPr="002D5369">
        <w:rPr>
          <w:rFonts w:ascii="Times New Roman" w:eastAsia="Times New Roman" w:hAnsi="Times New Roman" w:cs="Times New Roman"/>
          <w:color w:val="000000"/>
          <w:sz w:val="24"/>
          <w:szCs w:val="24"/>
          <w:lang w:eastAsia="en-CA"/>
        </w:rPr>
        <w:t xml:space="preserve">. </w:t>
      </w:r>
      <w:r w:rsidR="005541B5" w:rsidRPr="002D5369">
        <w:rPr>
          <w:rFonts w:ascii="Times New Roman" w:eastAsia="Times New Roman" w:hAnsi="Times New Roman" w:cs="Times New Roman"/>
          <w:color w:val="000000"/>
          <w:sz w:val="24"/>
          <w:szCs w:val="24"/>
          <w:lang w:eastAsia="en-CA"/>
        </w:rPr>
        <w:t>However,</w:t>
      </w:r>
      <w:r w:rsidRPr="002D5369">
        <w:rPr>
          <w:rFonts w:ascii="Times New Roman" w:eastAsia="Times New Roman" w:hAnsi="Times New Roman" w:cs="Times New Roman"/>
          <w:color w:val="000000"/>
          <w:sz w:val="24"/>
          <w:szCs w:val="24"/>
          <w:lang w:eastAsia="en-CA"/>
        </w:rPr>
        <w:t xml:space="preserve"> i</w:t>
      </w:r>
      <w:r w:rsidR="009F1404" w:rsidRPr="002D5369">
        <w:rPr>
          <w:rFonts w:ascii="Times New Roman" w:eastAsia="Times New Roman" w:hAnsi="Times New Roman" w:cs="Times New Roman"/>
          <w:color w:val="000000"/>
          <w:sz w:val="24"/>
          <w:szCs w:val="24"/>
          <w:lang w:eastAsia="en-CA"/>
        </w:rPr>
        <w:t>n that case, the court took judicial notice of the fact that vaccination comes with a risk, just as all medical treatment does but also took judicial notice of the fact that the vaccine is safe and effective.</w:t>
      </w:r>
      <w:r w:rsidR="005541B5">
        <w:rPr>
          <w:rStyle w:val="FootnoteReference"/>
          <w:rFonts w:ascii="Times New Roman" w:eastAsia="Times New Roman" w:hAnsi="Times New Roman" w:cs="Times New Roman"/>
          <w:color w:val="000000"/>
          <w:sz w:val="24"/>
          <w:szCs w:val="24"/>
          <w:lang w:eastAsia="en-CA"/>
        </w:rPr>
        <w:footnoteReference w:id="9"/>
      </w:r>
    </w:p>
    <w:p w14:paraId="01390B2C" w14:textId="029D3354" w:rsidR="005541B5" w:rsidRDefault="005541B5" w:rsidP="00C63FC5">
      <w:pPr>
        <w:spacing w:after="240" w:line="240" w:lineRule="auto"/>
        <w:jc w:val="both"/>
        <w:rPr>
          <w:rFonts w:ascii="Times New Roman" w:eastAsia="Times New Roman" w:hAnsi="Times New Roman" w:cs="Times New Roman"/>
          <w:color w:val="000000"/>
          <w:sz w:val="24"/>
          <w:szCs w:val="24"/>
          <w:lang w:eastAsia="en-CA"/>
        </w:rPr>
      </w:pPr>
      <w:bookmarkStart w:id="0" w:name="_Hlk126680350"/>
      <w:r>
        <w:rPr>
          <w:rFonts w:ascii="Times New Roman" w:eastAsia="Times New Roman" w:hAnsi="Times New Roman" w:cs="Times New Roman"/>
          <w:color w:val="000000"/>
          <w:sz w:val="24"/>
          <w:szCs w:val="24"/>
          <w:lang w:eastAsia="en-CA"/>
        </w:rPr>
        <w:t xml:space="preserve">Yet the scientific evidence </w:t>
      </w:r>
      <w:r w:rsidR="002D5369">
        <w:rPr>
          <w:rFonts w:ascii="Times New Roman" w:eastAsia="Times New Roman" w:hAnsi="Times New Roman" w:cs="Times New Roman"/>
          <w:color w:val="000000"/>
          <w:sz w:val="24"/>
          <w:szCs w:val="24"/>
          <w:lang w:eastAsia="en-CA"/>
        </w:rPr>
        <w:t xml:space="preserve">is at </w:t>
      </w:r>
      <w:r w:rsidR="00D62A45">
        <w:rPr>
          <w:rFonts w:ascii="Times New Roman" w:eastAsia="Times New Roman" w:hAnsi="Times New Roman" w:cs="Times New Roman"/>
          <w:color w:val="000000"/>
          <w:sz w:val="24"/>
          <w:szCs w:val="24"/>
          <w:lang w:eastAsia="en-CA"/>
        </w:rPr>
        <w:t xml:space="preserve">complete </w:t>
      </w:r>
      <w:r w:rsidR="002D5369">
        <w:rPr>
          <w:rFonts w:ascii="Times New Roman" w:eastAsia="Times New Roman" w:hAnsi="Times New Roman" w:cs="Times New Roman"/>
          <w:color w:val="000000"/>
          <w:sz w:val="24"/>
          <w:szCs w:val="24"/>
          <w:lang w:eastAsia="en-CA"/>
        </w:rPr>
        <w:t>odds</w:t>
      </w:r>
      <w:r w:rsidR="00D62A45">
        <w:rPr>
          <w:rFonts w:ascii="Times New Roman" w:eastAsia="Times New Roman" w:hAnsi="Times New Roman" w:cs="Times New Roman"/>
          <w:color w:val="000000"/>
          <w:sz w:val="24"/>
          <w:szCs w:val="24"/>
          <w:lang w:eastAsia="en-CA"/>
        </w:rPr>
        <w:t xml:space="preserve"> with and contrary to</w:t>
      </w:r>
      <w:r w:rsidR="002D5369">
        <w:rPr>
          <w:rFonts w:ascii="Times New Roman" w:eastAsia="Times New Roman" w:hAnsi="Times New Roman" w:cs="Times New Roman"/>
          <w:color w:val="000000"/>
          <w:sz w:val="24"/>
          <w:szCs w:val="24"/>
          <w:lang w:eastAsia="en-CA"/>
        </w:rPr>
        <w:t xml:space="preserve"> the </w:t>
      </w:r>
      <w:r>
        <w:rPr>
          <w:rFonts w:ascii="Times New Roman" w:eastAsia="Times New Roman" w:hAnsi="Times New Roman" w:cs="Times New Roman"/>
          <w:color w:val="000000"/>
          <w:sz w:val="24"/>
          <w:szCs w:val="24"/>
          <w:lang w:eastAsia="en-CA"/>
        </w:rPr>
        <w:t>judicially noticed facts:</w:t>
      </w:r>
    </w:p>
    <w:p w14:paraId="0A8CE870" w14:textId="0EFC0D18" w:rsidR="00B16139" w:rsidRDefault="002D5369"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“COVID</w:t>
      </w:r>
      <w:r w:rsidR="00397FB3">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19 vaccine” is not a “vaccine”. </w:t>
      </w:r>
      <w:r w:rsidR="00B16139">
        <w:rPr>
          <w:rFonts w:ascii="Times New Roman" w:eastAsia="Times New Roman" w:hAnsi="Times New Roman" w:cs="Times New Roman"/>
          <w:color w:val="000000"/>
          <w:sz w:val="24"/>
          <w:szCs w:val="24"/>
          <w:lang w:eastAsia="en-CA"/>
        </w:rPr>
        <w:t>International studies of the so called COVID</w:t>
      </w:r>
      <w:r w:rsidR="00397FB3">
        <w:rPr>
          <w:rFonts w:ascii="Times New Roman" w:eastAsia="Times New Roman" w:hAnsi="Times New Roman" w:cs="Times New Roman"/>
          <w:color w:val="000000"/>
          <w:sz w:val="24"/>
          <w:szCs w:val="24"/>
          <w:lang w:eastAsia="en-CA"/>
        </w:rPr>
        <w:t>-</w:t>
      </w:r>
      <w:r w:rsidR="00B16139">
        <w:rPr>
          <w:rFonts w:ascii="Times New Roman" w:eastAsia="Times New Roman" w:hAnsi="Times New Roman" w:cs="Times New Roman"/>
          <w:color w:val="000000"/>
          <w:sz w:val="24"/>
          <w:szCs w:val="24"/>
          <w:lang w:eastAsia="en-CA"/>
        </w:rPr>
        <w:t xml:space="preserve">19 vaccine clinical trials have concluded that the term “inoculation” is better description because the injected material </w:t>
      </w:r>
      <w:r w:rsidR="00B16139" w:rsidRPr="00C63FC5">
        <w:rPr>
          <w:rFonts w:ascii="Times New Roman" w:eastAsia="Times New Roman" w:hAnsi="Times New Roman" w:cs="Times New Roman"/>
          <w:color w:val="000000"/>
          <w:sz w:val="24"/>
          <w:szCs w:val="24"/>
          <w:u w:val="single"/>
          <w:lang w:eastAsia="en-CA"/>
        </w:rPr>
        <w:t>neither prevents viral transmission nor infection.</w:t>
      </w:r>
      <w:r w:rsidR="00B16139">
        <w:rPr>
          <w:rStyle w:val="FootnoteReference"/>
          <w:rFonts w:ascii="Times New Roman" w:eastAsia="Times New Roman" w:hAnsi="Times New Roman" w:cs="Times New Roman"/>
          <w:color w:val="000000"/>
          <w:sz w:val="24"/>
          <w:szCs w:val="24"/>
          <w:lang w:eastAsia="en-CA"/>
        </w:rPr>
        <w:footnoteReference w:id="10"/>
      </w:r>
      <w:r w:rsidR="00B16139">
        <w:rPr>
          <w:rFonts w:ascii="Times New Roman" w:eastAsia="Times New Roman" w:hAnsi="Times New Roman" w:cs="Times New Roman"/>
          <w:color w:val="000000"/>
          <w:sz w:val="24"/>
          <w:szCs w:val="24"/>
          <w:lang w:eastAsia="en-CA"/>
        </w:rPr>
        <w:t xml:space="preserve"> </w:t>
      </w:r>
    </w:p>
    <w:p w14:paraId="1B4538D4" w14:textId="77777777" w:rsidR="00041387" w:rsidRDefault="002D5369"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inoculations were rolled out without long-term testing</w:t>
      </w:r>
      <w:r w:rsidR="00D62A45">
        <w:rPr>
          <w:rFonts w:ascii="Times New Roman" w:eastAsia="Times New Roman" w:hAnsi="Times New Roman" w:cs="Times New Roman"/>
          <w:color w:val="000000"/>
          <w:sz w:val="24"/>
          <w:szCs w:val="24"/>
          <w:lang w:eastAsia="en-CA"/>
        </w:rPr>
        <w:t xml:space="preserve"> on adults </w:t>
      </w:r>
      <w:r w:rsidR="00D62A45" w:rsidRPr="00041387">
        <w:rPr>
          <w:rFonts w:ascii="Times New Roman" w:eastAsia="Times New Roman" w:hAnsi="Times New Roman" w:cs="Times New Roman"/>
          <w:color w:val="000000"/>
          <w:sz w:val="24"/>
          <w:szCs w:val="24"/>
          <w:u w:val="single"/>
          <w:lang w:eastAsia="en-CA"/>
        </w:rPr>
        <w:t>or children</w:t>
      </w:r>
      <w:r>
        <w:rPr>
          <w:rFonts w:ascii="Times New Roman" w:eastAsia="Times New Roman" w:hAnsi="Times New Roman" w:cs="Times New Roman"/>
          <w:color w:val="000000"/>
          <w:sz w:val="24"/>
          <w:szCs w:val="24"/>
          <w:lang w:eastAsia="en-CA"/>
        </w:rPr>
        <w:t xml:space="preserve">. </w:t>
      </w:r>
    </w:p>
    <w:p w14:paraId="69FB0403" w14:textId="47353F17" w:rsidR="002D5369" w:rsidRDefault="00041387"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w:t>
      </w:r>
      <w:r w:rsidR="002D5369">
        <w:rPr>
          <w:rFonts w:ascii="Times New Roman" w:eastAsia="Times New Roman" w:hAnsi="Times New Roman" w:cs="Times New Roman"/>
          <w:color w:val="000000"/>
          <w:sz w:val="24"/>
          <w:szCs w:val="24"/>
          <w:lang w:eastAsia="en-CA"/>
        </w:rPr>
        <w:t>o claim could be made about safety</w:t>
      </w:r>
      <w:r>
        <w:rPr>
          <w:rFonts w:ascii="Times New Roman" w:eastAsia="Times New Roman" w:hAnsi="Times New Roman" w:cs="Times New Roman"/>
          <w:color w:val="000000"/>
          <w:sz w:val="24"/>
          <w:szCs w:val="24"/>
          <w:lang w:eastAsia="en-CA"/>
        </w:rPr>
        <w:t>,</w:t>
      </w:r>
      <w:r w:rsidR="00D62A45">
        <w:rPr>
          <w:rFonts w:ascii="Times New Roman" w:eastAsia="Times New Roman" w:hAnsi="Times New Roman" w:cs="Times New Roman"/>
          <w:color w:val="000000"/>
          <w:sz w:val="24"/>
          <w:szCs w:val="24"/>
          <w:lang w:eastAsia="en-CA"/>
        </w:rPr>
        <w:t xml:space="preserve"> let alone a confident claim</w:t>
      </w:r>
      <w:r>
        <w:rPr>
          <w:rFonts w:ascii="Times New Roman" w:eastAsia="Times New Roman" w:hAnsi="Times New Roman" w:cs="Times New Roman"/>
          <w:color w:val="000000"/>
          <w:sz w:val="24"/>
          <w:szCs w:val="24"/>
          <w:lang w:eastAsia="en-CA"/>
        </w:rPr>
        <w:t>,</w:t>
      </w:r>
      <w:r w:rsidR="00D62A45">
        <w:rPr>
          <w:rFonts w:ascii="Times New Roman" w:eastAsia="Times New Roman" w:hAnsi="Times New Roman" w:cs="Times New Roman"/>
          <w:color w:val="000000"/>
          <w:sz w:val="24"/>
          <w:szCs w:val="24"/>
          <w:lang w:eastAsia="en-CA"/>
        </w:rPr>
        <w:t xml:space="preserve"> that they are “safe” for children;</w:t>
      </w:r>
    </w:p>
    <w:p w14:paraId="5F9B6707" w14:textId="768F07BD" w:rsidR="004E66FE" w:rsidRDefault="00041387"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bookmarkStart w:id="1" w:name="_Hlk126680383"/>
      <w:bookmarkEnd w:id="0"/>
      <w:r>
        <w:rPr>
          <w:rFonts w:ascii="Times New Roman" w:eastAsia="Times New Roman" w:hAnsi="Times New Roman" w:cs="Times New Roman"/>
          <w:color w:val="000000"/>
          <w:sz w:val="24"/>
          <w:szCs w:val="24"/>
          <w:lang w:eastAsia="en-CA"/>
        </w:rPr>
        <w:lastRenderedPageBreak/>
        <w:t>T</w:t>
      </w:r>
      <w:r w:rsidR="00D62A45">
        <w:rPr>
          <w:rFonts w:ascii="Times New Roman" w:eastAsia="Times New Roman" w:hAnsi="Times New Roman" w:cs="Times New Roman"/>
          <w:color w:val="000000"/>
          <w:sz w:val="24"/>
          <w:szCs w:val="24"/>
          <w:lang w:eastAsia="en-CA"/>
        </w:rPr>
        <w:t xml:space="preserve">here is evidence that the inoculations are </w:t>
      </w:r>
      <w:r w:rsidR="00D62A45" w:rsidRPr="00D62A45">
        <w:rPr>
          <w:rFonts w:ascii="Times New Roman" w:eastAsia="Times New Roman" w:hAnsi="Times New Roman" w:cs="Times New Roman"/>
          <w:i/>
          <w:iCs/>
          <w:color w:val="000000"/>
          <w:sz w:val="24"/>
          <w:szCs w:val="24"/>
          <w:lang w:eastAsia="en-CA"/>
        </w:rPr>
        <w:t>not</w:t>
      </w:r>
      <w:r w:rsidR="00D62A45">
        <w:rPr>
          <w:rFonts w:ascii="Times New Roman" w:eastAsia="Times New Roman" w:hAnsi="Times New Roman" w:cs="Times New Roman"/>
          <w:color w:val="000000"/>
          <w:sz w:val="24"/>
          <w:szCs w:val="24"/>
          <w:lang w:eastAsia="en-CA"/>
        </w:rPr>
        <w:t xml:space="preserve"> safe. </w:t>
      </w:r>
      <w:r w:rsidR="004E66FE">
        <w:rPr>
          <w:rFonts w:ascii="Times New Roman" w:eastAsia="Times New Roman" w:hAnsi="Times New Roman" w:cs="Times New Roman"/>
          <w:color w:val="000000"/>
          <w:sz w:val="24"/>
          <w:szCs w:val="24"/>
          <w:lang w:eastAsia="en-CA"/>
        </w:rPr>
        <w:t>Cost-benefit analysis shows there are five times the number of deaths attributable to each inoculation vs those attributable to COVID</w:t>
      </w:r>
      <w:r w:rsidR="00F362D7">
        <w:rPr>
          <w:rFonts w:ascii="Times New Roman" w:eastAsia="Times New Roman" w:hAnsi="Times New Roman" w:cs="Times New Roman"/>
          <w:color w:val="000000"/>
          <w:sz w:val="24"/>
          <w:szCs w:val="24"/>
          <w:lang w:eastAsia="en-CA"/>
        </w:rPr>
        <w:t>-</w:t>
      </w:r>
      <w:proofErr w:type="gramStart"/>
      <w:r w:rsidR="004E66FE">
        <w:rPr>
          <w:rFonts w:ascii="Times New Roman" w:eastAsia="Times New Roman" w:hAnsi="Times New Roman" w:cs="Times New Roman"/>
          <w:color w:val="000000"/>
          <w:sz w:val="24"/>
          <w:szCs w:val="24"/>
          <w:lang w:eastAsia="en-CA"/>
        </w:rPr>
        <w:t>19;</w:t>
      </w:r>
      <w:proofErr w:type="gramEnd"/>
    </w:p>
    <w:p w14:paraId="0974987E" w14:textId="43CDE6F8" w:rsidR="005541B5" w:rsidRDefault="005541B5"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Children do not transmit the SARS-CoV-2 as readily as adults;</w:t>
      </w:r>
    </w:p>
    <w:p w14:paraId="4D22911C" w14:textId="47E6633C" w:rsidR="004E66FE" w:rsidRDefault="004E66FE"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Children have a negligible risk of serio</w:t>
      </w:r>
      <w:r w:rsidR="00D62A45">
        <w:rPr>
          <w:rFonts w:ascii="Times New Roman" w:eastAsia="Times New Roman" w:hAnsi="Times New Roman" w:cs="Times New Roman"/>
          <w:color w:val="000000"/>
          <w:sz w:val="24"/>
          <w:szCs w:val="24"/>
          <w:lang w:eastAsia="en-CA"/>
        </w:rPr>
        <w:t>u</w:t>
      </w:r>
      <w:r>
        <w:rPr>
          <w:rFonts w:ascii="Times New Roman" w:eastAsia="Times New Roman" w:hAnsi="Times New Roman" w:cs="Times New Roman"/>
          <w:color w:val="000000"/>
          <w:sz w:val="24"/>
          <w:szCs w:val="24"/>
          <w:lang w:eastAsia="en-CA"/>
        </w:rPr>
        <w:t>s effects from disease</w:t>
      </w:r>
      <w:r w:rsidR="00D62A45">
        <w:rPr>
          <w:rFonts w:ascii="Times New Roman" w:eastAsia="Times New Roman" w:hAnsi="Times New Roman" w:cs="Times New Roman"/>
          <w:color w:val="000000"/>
          <w:sz w:val="24"/>
          <w:szCs w:val="24"/>
          <w:lang w:eastAsia="en-CA"/>
        </w:rPr>
        <w:t xml:space="preserve"> or illness if exposed to the virus, the inoculations are more of a risk than </w:t>
      </w:r>
      <w:r w:rsidR="00C63FC5">
        <w:rPr>
          <w:rFonts w:ascii="Times New Roman" w:eastAsia="Times New Roman" w:hAnsi="Times New Roman" w:cs="Times New Roman"/>
          <w:color w:val="000000"/>
          <w:sz w:val="24"/>
          <w:szCs w:val="24"/>
          <w:lang w:eastAsia="en-CA"/>
        </w:rPr>
        <w:t xml:space="preserve">a </w:t>
      </w:r>
      <w:r w:rsidR="00D62A45">
        <w:rPr>
          <w:rFonts w:ascii="Times New Roman" w:eastAsia="Times New Roman" w:hAnsi="Times New Roman" w:cs="Times New Roman"/>
          <w:color w:val="000000"/>
          <w:sz w:val="24"/>
          <w:szCs w:val="24"/>
          <w:lang w:eastAsia="en-CA"/>
        </w:rPr>
        <w:t>protection for children</w:t>
      </w:r>
      <w:r>
        <w:rPr>
          <w:rFonts w:ascii="Times New Roman" w:eastAsia="Times New Roman" w:hAnsi="Times New Roman" w:cs="Times New Roman"/>
          <w:color w:val="000000"/>
          <w:sz w:val="24"/>
          <w:szCs w:val="24"/>
          <w:lang w:eastAsia="en-CA"/>
        </w:rPr>
        <w:t>;</w:t>
      </w:r>
    </w:p>
    <w:p w14:paraId="2E65FBE4" w14:textId="0180BB13" w:rsidR="00B16139" w:rsidRDefault="00B16139"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vaccines are using mRNA technology that has never been approved in use for humans</w:t>
      </w:r>
      <w:r w:rsidR="00C63FC5">
        <w:rPr>
          <w:rFonts w:ascii="Times New Roman" w:eastAsia="Times New Roman" w:hAnsi="Times New Roman" w:cs="Times New Roman"/>
          <w:color w:val="000000"/>
          <w:sz w:val="24"/>
          <w:szCs w:val="24"/>
          <w:lang w:eastAsia="en-CA"/>
        </w:rPr>
        <w:t xml:space="preserve">, let alone for children in particular; </w:t>
      </w:r>
    </w:p>
    <w:p w14:paraId="50D70DB3" w14:textId="549217AC" w:rsidR="004E66FE" w:rsidRDefault="004E66FE"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Due to the high reported adverse events and deaths associated with the </w:t>
      </w:r>
      <w:proofErr w:type="spellStart"/>
      <w:r>
        <w:rPr>
          <w:rFonts w:ascii="Times New Roman" w:eastAsia="Times New Roman" w:hAnsi="Times New Roman" w:cs="Times New Roman"/>
          <w:color w:val="000000"/>
          <w:sz w:val="24"/>
          <w:szCs w:val="24"/>
          <w:lang w:eastAsia="en-CA"/>
        </w:rPr>
        <w:t>AstraZenca</w:t>
      </w:r>
      <w:proofErr w:type="spellEnd"/>
      <w:r>
        <w:rPr>
          <w:rFonts w:ascii="Times New Roman" w:eastAsia="Times New Roman" w:hAnsi="Times New Roman" w:cs="Times New Roman"/>
          <w:color w:val="000000"/>
          <w:sz w:val="24"/>
          <w:szCs w:val="24"/>
          <w:lang w:eastAsia="en-CA"/>
        </w:rPr>
        <w:t xml:space="preserve"> vaccines the children’s trial was halted in May 2021</w:t>
      </w:r>
      <w:r w:rsidR="00D62A45">
        <w:rPr>
          <w:rFonts w:ascii="Times New Roman" w:eastAsia="Times New Roman" w:hAnsi="Times New Roman" w:cs="Times New Roman"/>
          <w:color w:val="000000"/>
          <w:sz w:val="24"/>
          <w:szCs w:val="24"/>
          <w:lang w:eastAsia="en-CA"/>
        </w:rPr>
        <w:t xml:space="preserve">. </w:t>
      </w:r>
      <w:r w:rsidR="00C63FC5">
        <w:rPr>
          <w:rFonts w:ascii="Times New Roman" w:eastAsia="Times New Roman" w:hAnsi="Times New Roman" w:cs="Times New Roman"/>
          <w:color w:val="000000"/>
          <w:sz w:val="24"/>
          <w:szCs w:val="24"/>
          <w:lang w:eastAsia="en-CA"/>
        </w:rPr>
        <w:t>It was removed by Health Canada</w:t>
      </w:r>
      <w:r w:rsidR="00D62A45">
        <w:rPr>
          <w:rFonts w:ascii="Times New Roman" w:eastAsia="Times New Roman" w:hAnsi="Times New Roman" w:cs="Times New Roman"/>
          <w:color w:val="000000"/>
          <w:sz w:val="24"/>
          <w:szCs w:val="24"/>
          <w:lang w:eastAsia="en-CA"/>
        </w:rPr>
        <w:t>.</w:t>
      </w:r>
    </w:p>
    <w:p w14:paraId="0D190BF0" w14:textId="4843C106" w:rsidR="004E66FE" w:rsidRDefault="004E66FE"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Pfizer</w:t>
      </w:r>
      <w:r w:rsidR="0020013F">
        <w:rPr>
          <w:rFonts w:ascii="Times New Roman" w:eastAsia="Times New Roman" w:hAnsi="Times New Roman" w:cs="Times New Roman"/>
          <w:color w:val="000000"/>
          <w:sz w:val="24"/>
          <w:szCs w:val="24"/>
          <w:lang w:eastAsia="en-CA"/>
        </w:rPr>
        <w:t>’s 6-month Safety and Efficacy study showed more deaths per head in the “vaccinated” group than the “unvaccinated” group. This is incompatible with the claim that vaccines are safe and effective. Court ordered Pfizer data now confirms that they are harmful and dangerous;</w:t>
      </w:r>
    </w:p>
    <w:p w14:paraId="6A7708D9" w14:textId="176FCDF7" w:rsidR="00B16139" w:rsidRDefault="00B16139"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Children do not need vaccination to support herd immunity</w:t>
      </w:r>
      <w:r w:rsidR="0020013F">
        <w:rPr>
          <w:rFonts w:ascii="Times New Roman" w:eastAsia="Times New Roman" w:hAnsi="Times New Roman" w:cs="Times New Roman"/>
          <w:color w:val="000000"/>
          <w:sz w:val="24"/>
          <w:szCs w:val="24"/>
          <w:lang w:eastAsia="en-CA"/>
        </w:rPr>
        <w:t>. They have the most robust immune systems</w:t>
      </w:r>
      <w:r>
        <w:rPr>
          <w:rFonts w:ascii="Times New Roman" w:eastAsia="Times New Roman" w:hAnsi="Times New Roman" w:cs="Times New Roman"/>
          <w:color w:val="000000"/>
          <w:sz w:val="24"/>
          <w:szCs w:val="24"/>
          <w:lang w:eastAsia="en-CA"/>
        </w:rPr>
        <w:t>;</w:t>
      </w:r>
    </w:p>
    <w:p w14:paraId="3561AEFB" w14:textId="2E4DA31D" w:rsidR="00B16139" w:rsidRDefault="004E66FE" w:rsidP="00C63FC5">
      <w:pPr>
        <w:pStyle w:val="ListParagraph"/>
        <w:numPr>
          <w:ilvl w:val="0"/>
          <w:numId w:val="2"/>
        </w:num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Children’s immunological and neurological systems are still in development making them more vulnerable to adverse effects </w:t>
      </w:r>
      <w:r w:rsidR="0020013F">
        <w:rPr>
          <w:rFonts w:ascii="Times New Roman" w:eastAsia="Times New Roman" w:hAnsi="Times New Roman" w:cs="Times New Roman"/>
          <w:color w:val="000000"/>
          <w:sz w:val="24"/>
          <w:szCs w:val="24"/>
          <w:lang w:eastAsia="en-CA"/>
        </w:rPr>
        <w:t xml:space="preserve">and harms </w:t>
      </w:r>
      <w:r>
        <w:rPr>
          <w:rFonts w:ascii="Times New Roman" w:eastAsia="Times New Roman" w:hAnsi="Times New Roman" w:cs="Times New Roman"/>
          <w:color w:val="000000"/>
          <w:sz w:val="24"/>
          <w:szCs w:val="24"/>
          <w:lang w:eastAsia="en-CA"/>
        </w:rPr>
        <w:t>than adults;</w:t>
      </w:r>
    </w:p>
    <w:bookmarkEnd w:id="1"/>
    <w:p w14:paraId="13ECCB68" w14:textId="19373D9B" w:rsidR="00041387" w:rsidRDefault="004E66FE" w:rsidP="00C63FC5">
      <w:p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In other </w:t>
      </w:r>
      <w:r w:rsidR="00D62A45">
        <w:rPr>
          <w:rFonts w:ascii="Times New Roman" w:eastAsia="Times New Roman" w:hAnsi="Times New Roman" w:cs="Times New Roman"/>
          <w:color w:val="000000"/>
          <w:sz w:val="24"/>
          <w:szCs w:val="24"/>
          <w:lang w:eastAsia="en-CA"/>
        </w:rPr>
        <w:t>words,</w:t>
      </w:r>
      <w:r>
        <w:rPr>
          <w:rFonts w:ascii="Times New Roman" w:eastAsia="Times New Roman" w:hAnsi="Times New Roman" w:cs="Times New Roman"/>
          <w:color w:val="000000"/>
          <w:sz w:val="24"/>
          <w:szCs w:val="24"/>
          <w:lang w:eastAsia="en-CA"/>
        </w:rPr>
        <w:t xml:space="preserve"> </w:t>
      </w:r>
      <w:r w:rsidR="00D62A45">
        <w:rPr>
          <w:rFonts w:ascii="Times New Roman" w:eastAsia="Times New Roman" w:hAnsi="Times New Roman" w:cs="Times New Roman"/>
          <w:color w:val="000000"/>
          <w:sz w:val="24"/>
          <w:szCs w:val="24"/>
          <w:lang w:eastAsia="en-CA"/>
        </w:rPr>
        <w:t>it</w:t>
      </w:r>
      <w:r>
        <w:rPr>
          <w:rFonts w:ascii="Times New Roman" w:eastAsia="Times New Roman" w:hAnsi="Times New Roman" w:cs="Times New Roman"/>
          <w:color w:val="000000"/>
          <w:sz w:val="24"/>
          <w:szCs w:val="24"/>
          <w:lang w:eastAsia="en-CA"/>
        </w:rPr>
        <w:t xml:space="preserve"> cannot be said that the facts which are accepted as truth </w:t>
      </w:r>
      <w:r w:rsidR="00C63FC5">
        <w:rPr>
          <w:rFonts w:ascii="Times New Roman" w:eastAsia="Times New Roman" w:hAnsi="Times New Roman" w:cs="Times New Roman"/>
          <w:color w:val="000000"/>
          <w:sz w:val="24"/>
          <w:szCs w:val="24"/>
          <w:lang w:eastAsia="en-CA"/>
        </w:rPr>
        <w:t xml:space="preserve">by “judicial notice” </w:t>
      </w:r>
      <w:r>
        <w:rPr>
          <w:rFonts w:ascii="Times New Roman" w:eastAsia="Times New Roman" w:hAnsi="Times New Roman" w:cs="Times New Roman"/>
          <w:color w:val="000000"/>
          <w:sz w:val="24"/>
          <w:szCs w:val="24"/>
          <w:lang w:eastAsia="en-CA"/>
        </w:rPr>
        <w:t xml:space="preserve">are </w:t>
      </w:r>
      <w:r w:rsidR="00D62A45">
        <w:rPr>
          <w:rFonts w:ascii="Times New Roman" w:eastAsia="Times New Roman" w:hAnsi="Times New Roman" w:cs="Times New Roman"/>
          <w:color w:val="000000"/>
          <w:sz w:val="24"/>
          <w:szCs w:val="24"/>
          <w:lang w:eastAsia="en-CA"/>
        </w:rPr>
        <w:t>in fact true. At the least</w:t>
      </w:r>
      <w:r w:rsidR="001C5289">
        <w:rPr>
          <w:rFonts w:ascii="Times New Roman" w:eastAsia="Times New Roman" w:hAnsi="Times New Roman" w:cs="Times New Roman"/>
          <w:color w:val="000000"/>
          <w:sz w:val="24"/>
          <w:szCs w:val="24"/>
          <w:lang w:eastAsia="en-CA"/>
        </w:rPr>
        <w:t>,</w:t>
      </w:r>
      <w:r w:rsidR="00D62A45">
        <w:rPr>
          <w:rFonts w:ascii="Times New Roman" w:eastAsia="Times New Roman" w:hAnsi="Times New Roman" w:cs="Times New Roman"/>
          <w:color w:val="000000"/>
          <w:sz w:val="24"/>
          <w:szCs w:val="24"/>
          <w:lang w:eastAsia="en-CA"/>
        </w:rPr>
        <w:t xml:space="preserve"> these facts are not </w:t>
      </w:r>
      <w:r>
        <w:rPr>
          <w:rFonts w:ascii="Times New Roman" w:eastAsia="Times New Roman" w:hAnsi="Times New Roman" w:cs="Times New Roman"/>
          <w:color w:val="000000"/>
          <w:sz w:val="24"/>
          <w:szCs w:val="24"/>
          <w:lang w:eastAsia="en-CA"/>
        </w:rPr>
        <w:t>uncontroversial or undisputed by any stretch of the imagination</w:t>
      </w:r>
      <w:r w:rsidR="001C5289">
        <w:rPr>
          <w:rFonts w:ascii="Times New Roman" w:eastAsia="Times New Roman" w:hAnsi="Times New Roman" w:cs="Times New Roman"/>
          <w:color w:val="000000"/>
          <w:sz w:val="24"/>
          <w:szCs w:val="24"/>
          <w:lang w:eastAsia="en-CA"/>
        </w:rPr>
        <w:t>.</w:t>
      </w:r>
      <w:r w:rsidR="00041387" w:rsidRPr="00041387">
        <w:rPr>
          <w:rFonts w:ascii="Times New Roman" w:eastAsia="Times New Roman" w:hAnsi="Times New Roman" w:cs="Times New Roman"/>
          <w:color w:val="000000"/>
          <w:sz w:val="24"/>
          <w:szCs w:val="24"/>
          <w:lang w:eastAsia="en-CA"/>
        </w:rPr>
        <w:t xml:space="preserve"> </w:t>
      </w:r>
    </w:p>
    <w:p w14:paraId="24FF08C4" w14:textId="0585B3C8" w:rsidR="00C63FC5" w:rsidRPr="001C5289" w:rsidRDefault="00041387" w:rsidP="00C63FC5">
      <w:pPr>
        <w:spacing w:after="240" w:line="240" w:lineRule="auto"/>
        <w:jc w:val="both"/>
        <w:rPr>
          <w:rFonts w:ascii="Times New Roman" w:hAnsi="Times New Roman" w:cs="Times New Roman"/>
          <w:color w:val="313132"/>
          <w:sz w:val="24"/>
          <w:szCs w:val="24"/>
          <w:shd w:val="clear" w:color="auto" w:fill="FFFFFF"/>
        </w:rPr>
      </w:pPr>
      <w:r w:rsidRPr="0072610F">
        <w:rPr>
          <w:rFonts w:ascii="Times New Roman" w:eastAsia="Times New Roman" w:hAnsi="Times New Roman" w:cs="Times New Roman"/>
          <w:color w:val="000000"/>
          <w:sz w:val="24"/>
          <w:szCs w:val="24"/>
          <w:lang w:eastAsia="en-CA"/>
        </w:rPr>
        <w:t>In family law cases the Court must make decisions that are in the best interests of the child. T</w:t>
      </w:r>
      <w:r w:rsidRPr="0072610F">
        <w:rPr>
          <w:rFonts w:ascii="Times New Roman" w:hAnsi="Times New Roman" w:cs="Times New Roman"/>
          <w:color w:val="313132"/>
          <w:sz w:val="24"/>
          <w:szCs w:val="24"/>
          <w:shd w:val="clear" w:color="auto" w:fill="FFFFFF"/>
        </w:rPr>
        <w:t xml:space="preserve">he “best interests of the child” is a legal test used to decide what would best </w:t>
      </w:r>
      <w:r w:rsidRPr="00041387">
        <w:rPr>
          <w:rFonts w:ascii="Times New Roman" w:hAnsi="Times New Roman" w:cs="Times New Roman"/>
          <w:i/>
          <w:iCs/>
          <w:color w:val="313132"/>
          <w:sz w:val="24"/>
          <w:szCs w:val="24"/>
          <w:shd w:val="clear" w:color="auto" w:fill="FFFFFF"/>
        </w:rPr>
        <w:t>protect</w:t>
      </w:r>
      <w:r w:rsidRPr="0072610F">
        <w:rPr>
          <w:rFonts w:ascii="Times New Roman" w:hAnsi="Times New Roman" w:cs="Times New Roman"/>
          <w:color w:val="313132"/>
          <w:sz w:val="24"/>
          <w:szCs w:val="24"/>
          <w:shd w:val="clear" w:color="auto" w:fill="FFFFFF"/>
        </w:rPr>
        <w:t xml:space="preserve"> </w:t>
      </w:r>
      <w:r>
        <w:rPr>
          <w:rFonts w:ascii="Times New Roman" w:hAnsi="Times New Roman" w:cs="Times New Roman"/>
          <w:color w:val="313132"/>
          <w:sz w:val="24"/>
          <w:szCs w:val="24"/>
          <w:shd w:val="clear" w:color="auto" w:fill="FFFFFF"/>
        </w:rPr>
        <w:t>a</w:t>
      </w:r>
      <w:r w:rsidRPr="0072610F">
        <w:rPr>
          <w:rFonts w:ascii="Times New Roman" w:hAnsi="Times New Roman" w:cs="Times New Roman"/>
          <w:color w:val="313132"/>
          <w:sz w:val="24"/>
          <w:szCs w:val="24"/>
          <w:shd w:val="clear" w:color="auto" w:fill="FFFFFF"/>
        </w:rPr>
        <w:t xml:space="preserve"> child’s physical, psychological, and emotional safety, </w:t>
      </w:r>
      <w:proofErr w:type="gramStart"/>
      <w:r w:rsidRPr="0072610F">
        <w:rPr>
          <w:rFonts w:ascii="Times New Roman" w:hAnsi="Times New Roman" w:cs="Times New Roman"/>
          <w:color w:val="313132"/>
          <w:sz w:val="24"/>
          <w:szCs w:val="24"/>
          <w:shd w:val="clear" w:color="auto" w:fill="FFFFFF"/>
        </w:rPr>
        <w:t>security</w:t>
      </w:r>
      <w:proofErr w:type="gramEnd"/>
      <w:r w:rsidRPr="0072610F">
        <w:rPr>
          <w:rFonts w:ascii="Times New Roman" w:hAnsi="Times New Roman" w:cs="Times New Roman"/>
          <w:color w:val="313132"/>
          <w:sz w:val="24"/>
          <w:szCs w:val="24"/>
          <w:shd w:val="clear" w:color="auto" w:fill="FFFFFF"/>
        </w:rPr>
        <w:t xml:space="preserve"> and well-being.</w:t>
      </w:r>
      <w:r>
        <w:rPr>
          <w:rFonts w:ascii="Times New Roman" w:hAnsi="Times New Roman" w:cs="Times New Roman"/>
          <w:color w:val="313132"/>
          <w:sz w:val="24"/>
          <w:szCs w:val="24"/>
          <w:shd w:val="clear" w:color="auto" w:fill="FFFFFF"/>
        </w:rPr>
        <w:t xml:space="preserve"> The judges in these cases failed to engage in a cost-benefit balance of the untested (long-term) “vaccine” against the risk associated with being infected with COVID. Instead of challenging the parties to present evidence to prove facts asserted and subjecting the assertion of “safe and effective” to scrutiny or cross examination, the judges accepted “vaccines” as safe and effective</w:t>
      </w:r>
      <w:r w:rsidR="00C63FC5">
        <w:rPr>
          <w:rFonts w:ascii="Times New Roman" w:hAnsi="Times New Roman" w:cs="Times New Roman"/>
          <w:color w:val="313132"/>
          <w:sz w:val="24"/>
          <w:szCs w:val="24"/>
          <w:shd w:val="clear" w:color="auto" w:fill="FFFFFF"/>
        </w:rPr>
        <w:t>,</w:t>
      </w:r>
      <w:r>
        <w:rPr>
          <w:rFonts w:ascii="Times New Roman" w:hAnsi="Times New Roman" w:cs="Times New Roman"/>
          <w:color w:val="313132"/>
          <w:sz w:val="24"/>
          <w:szCs w:val="24"/>
          <w:shd w:val="clear" w:color="auto" w:fill="FFFFFF"/>
        </w:rPr>
        <w:t xml:space="preserve"> only on the authority of the government officials (public health authorities) who made them. </w:t>
      </w:r>
      <w:r w:rsidR="00C63FC5">
        <w:rPr>
          <w:rFonts w:ascii="Times New Roman" w:hAnsi="Times New Roman" w:cs="Times New Roman"/>
          <w:color w:val="313132"/>
          <w:sz w:val="24"/>
          <w:szCs w:val="24"/>
          <w:shd w:val="clear" w:color="auto" w:fill="FFFFFF"/>
        </w:rPr>
        <w:t>The judges failed their duty.</w:t>
      </w:r>
      <w:r w:rsidR="00C63FC5" w:rsidRPr="00C63FC5">
        <w:rPr>
          <w:rFonts w:ascii="Times New Roman" w:eastAsia="Times New Roman" w:hAnsi="Times New Roman" w:cs="Times New Roman"/>
          <w:color w:val="000000"/>
          <w:sz w:val="24"/>
          <w:szCs w:val="24"/>
          <w:lang w:eastAsia="en-CA"/>
        </w:rPr>
        <w:t xml:space="preserve"> </w:t>
      </w:r>
      <w:r w:rsidR="00C63FC5">
        <w:rPr>
          <w:rFonts w:ascii="Times New Roman" w:eastAsia="Times New Roman" w:hAnsi="Times New Roman" w:cs="Times New Roman"/>
          <w:color w:val="000000"/>
          <w:sz w:val="24"/>
          <w:szCs w:val="24"/>
          <w:lang w:eastAsia="en-CA"/>
        </w:rPr>
        <w:t>The courts sacrificed children’s</w:t>
      </w:r>
      <w:r w:rsidR="00C63FC5">
        <w:rPr>
          <w:rFonts w:ascii="Times New Roman" w:hAnsi="Times New Roman" w:cs="Times New Roman"/>
          <w:color w:val="2F2F2F"/>
          <w:spacing w:val="8"/>
          <w:sz w:val="24"/>
          <w:szCs w:val="24"/>
          <w:shd w:val="clear" w:color="auto" w:fill="FFFFFF"/>
        </w:rPr>
        <w:t xml:space="preserve"> health and their “best interests” at the alter of panic and fear.  </w:t>
      </w:r>
      <w:r w:rsidR="00C63FC5">
        <w:rPr>
          <w:rFonts w:ascii="Times New Roman" w:hAnsi="Times New Roman" w:cs="Times New Roman"/>
          <w:color w:val="313132"/>
          <w:sz w:val="24"/>
          <w:szCs w:val="24"/>
          <w:shd w:val="clear" w:color="auto" w:fill="FFFFFF"/>
        </w:rPr>
        <w:t xml:space="preserve">The judges failed the children.   </w:t>
      </w:r>
    </w:p>
    <w:p w14:paraId="48343552" w14:textId="6828DC70" w:rsidR="00041387" w:rsidRPr="0072610F" w:rsidRDefault="00041387" w:rsidP="00C63FC5">
      <w:pPr>
        <w:spacing w:after="24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What does it say about our family law courts when judges are willing to “accept” as notorious and uncontroverted facts which are proven to not only be controversial and disputed but false and inaccurate?</w:t>
      </w:r>
      <w:r w:rsidRPr="00041387">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It is demonstrative of a judiciary that is driven more by panic and mass formation psychosis than rationality, impartiality and independence from government generated publications and pronouncements. It was inappropriate for the Court to take judicial notice</w:t>
      </w:r>
      <w:r w:rsidR="00C63FC5">
        <w:rPr>
          <w:rFonts w:ascii="Times New Roman" w:eastAsia="Times New Roman" w:hAnsi="Times New Roman" w:cs="Times New Roman"/>
          <w:color w:val="000000"/>
          <w:sz w:val="24"/>
          <w:szCs w:val="24"/>
          <w:lang w:eastAsia="en-CA"/>
        </w:rPr>
        <w:t xml:space="preserve"> of these facts </w:t>
      </w:r>
      <w:r>
        <w:rPr>
          <w:rFonts w:ascii="Times New Roman" w:eastAsia="Times New Roman" w:hAnsi="Times New Roman" w:cs="Times New Roman"/>
          <w:color w:val="000000"/>
          <w:sz w:val="24"/>
          <w:szCs w:val="24"/>
          <w:lang w:eastAsia="en-CA"/>
        </w:rPr>
        <w:t xml:space="preserve">and judicial notice is really the exercise of judicial bias. This disturbing trend is only countered by a handful of cases </w:t>
      </w:r>
      <w:r w:rsidRPr="009F1404">
        <w:rPr>
          <w:rFonts w:ascii="Times New Roman" w:eastAsia="Times New Roman" w:hAnsi="Times New Roman" w:cs="Times New Roman"/>
          <w:color w:val="000000"/>
          <w:sz w:val="24"/>
          <w:szCs w:val="24"/>
          <w:lang w:eastAsia="en-CA"/>
        </w:rPr>
        <w:t>in which the courts were not prepared to take judicial notice of the efficacy and safety of COVID-19 vaccines</w:t>
      </w:r>
      <w:r>
        <w:rPr>
          <w:rFonts w:ascii="Times New Roman" w:eastAsia="Times New Roman" w:hAnsi="Times New Roman" w:cs="Times New Roman"/>
          <w:color w:val="000000"/>
          <w:sz w:val="24"/>
          <w:szCs w:val="24"/>
          <w:lang w:eastAsia="en-CA"/>
        </w:rPr>
        <w:t xml:space="preserve">. </w:t>
      </w:r>
      <w:r>
        <w:rPr>
          <w:rStyle w:val="FootnoteReference"/>
          <w:rFonts w:ascii="Times New Roman" w:eastAsia="Times New Roman" w:hAnsi="Times New Roman" w:cs="Times New Roman"/>
          <w:color w:val="000000"/>
          <w:sz w:val="24"/>
          <w:szCs w:val="24"/>
          <w:lang w:eastAsia="en-CA"/>
        </w:rPr>
        <w:footnoteReference w:id="11"/>
      </w:r>
      <w:r>
        <w:rPr>
          <w:rFonts w:ascii="Times New Roman" w:eastAsia="Times New Roman" w:hAnsi="Times New Roman" w:cs="Times New Roman"/>
          <w:color w:val="000000"/>
          <w:sz w:val="24"/>
          <w:szCs w:val="24"/>
          <w:lang w:eastAsia="en-CA"/>
        </w:rPr>
        <w:t xml:space="preserve"> </w:t>
      </w:r>
    </w:p>
    <w:sectPr w:rsidR="00041387" w:rsidRPr="0072610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239F" w14:textId="77777777" w:rsidR="00BF6564" w:rsidRDefault="00BF6564" w:rsidP="00846A0A">
      <w:pPr>
        <w:spacing w:after="0" w:line="240" w:lineRule="auto"/>
      </w:pPr>
      <w:r>
        <w:separator/>
      </w:r>
    </w:p>
  </w:endnote>
  <w:endnote w:type="continuationSeparator" w:id="0">
    <w:p w14:paraId="185C283D" w14:textId="77777777" w:rsidR="00BF6564" w:rsidRDefault="00BF6564" w:rsidP="0084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79986"/>
      <w:docPartObj>
        <w:docPartGallery w:val="Page Numbers (Bottom of Page)"/>
        <w:docPartUnique/>
      </w:docPartObj>
    </w:sdtPr>
    <w:sdtEndPr>
      <w:rPr>
        <w:noProof/>
      </w:rPr>
    </w:sdtEndPr>
    <w:sdtContent>
      <w:p w14:paraId="3F975BC0" w14:textId="399974BE" w:rsidR="00CE36AA" w:rsidRDefault="00CE36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38475" w14:textId="77777777" w:rsidR="00CE36AA" w:rsidRDefault="00CE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1B3F" w14:textId="77777777" w:rsidR="00BF6564" w:rsidRDefault="00BF6564" w:rsidP="00846A0A">
      <w:pPr>
        <w:spacing w:after="0" w:line="240" w:lineRule="auto"/>
      </w:pPr>
      <w:r>
        <w:separator/>
      </w:r>
    </w:p>
  </w:footnote>
  <w:footnote w:type="continuationSeparator" w:id="0">
    <w:p w14:paraId="51A79EC2" w14:textId="77777777" w:rsidR="00BF6564" w:rsidRDefault="00BF6564" w:rsidP="00846A0A">
      <w:pPr>
        <w:spacing w:after="0" w:line="240" w:lineRule="auto"/>
      </w:pPr>
      <w:r>
        <w:continuationSeparator/>
      </w:r>
    </w:p>
  </w:footnote>
  <w:footnote w:id="1">
    <w:p w14:paraId="4B51F8BF" w14:textId="700DA0B4" w:rsidR="00846A0A" w:rsidRDefault="00846A0A">
      <w:pPr>
        <w:pStyle w:val="FootnoteText"/>
      </w:pPr>
      <w:r>
        <w:rPr>
          <w:rStyle w:val="FootnoteReference"/>
        </w:rPr>
        <w:footnoteRef/>
      </w:r>
      <w:r>
        <w:t xml:space="preserve"> </w:t>
      </w:r>
      <w:hyperlink r:id="rId1" w:history="1">
        <w:r w:rsidRPr="00F76718">
          <w:rPr>
            <w:rStyle w:val="Hyperlink"/>
          </w:rPr>
          <w:t>https://www.theepochtimes.com/cory-morgan-a-dangerous-double-standard-appears-to-be-at-play-in-canadas-justice-system_5034293.html?utm_source=MB_article_paid&amp;src_src=MB_article_paid&amp;utm_campaign=mb-2023-02-06-ca&amp;src_cmp=mb-2023-02-06-ca&amp;utm_medium=email&amp;est=+SQTRJ9woPYBV8OKj7XgWkALZDK2iFvmC+w13PuPkLcTcSuDU1ywfnvbUDa7UoiAstCn&amp;utm_term=opinion1&amp;utm_content=10&amp;</w:t>
        </w:r>
      </w:hyperlink>
    </w:p>
    <w:p w14:paraId="5C6B1D75" w14:textId="77777777" w:rsidR="00846A0A" w:rsidRDefault="00846A0A">
      <w:pPr>
        <w:pStyle w:val="FootnoteText"/>
      </w:pPr>
    </w:p>
  </w:footnote>
  <w:footnote w:id="2">
    <w:p w14:paraId="4B858DD7" w14:textId="334DF9EA" w:rsidR="00CE36AA" w:rsidRDefault="00CE36AA">
      <w:pPr>
        <w:pStyle w:val="FootnoteText"/>
      </w:pPr>
      <w:r>
        <w:rPr>
          <w:rStyle w:val="FootnoteReference"/>
        </w:rPr>
        <w:footnoteRef/>
      </w:r>
      <w:r>
        <w:t xml:space="preserve"> R v. Find 2001 SCC 32</w:t>
      </w:r>
    </w:p>
  </w:footnote>
  <w:footnote w:id="3">
    <w:p w14:paraId="26179EA6" w14:textId="3E81EBBC" w:rsidR="00BE0280" w:rsidRDefault="00BE0280">
      <w:pPr>
        <w:pStyle w:val="FootnoteText"/>
      </w:pPr>
      <w:r>
        <w:rPr>
          <w:rStyle w:val="FootnoteReference"/>
        </w:rPr>
        <w:footnoteRef/>
      </w:r>
      <w:r>
        <w:t xml:space="preserve"> </w:t>
      </w:r>
      <w:proofErr w:type="spellStart"/>
      <w:r w:rsidRPr="00BE0280">
        <w:rPr>
          <w:rFonts w:eastAsia="Times New Roman" w:cstheme="minorHAnsi"/>
          <w:i/>
          <w:iCs/>
          <w:color w:val="000000"/>
          <w:lang w:eastAsia="en-CA"/>
        </w:rPr>
        <w:t>Dyquiangco</w:t>
      </w:r>
      <w:proofErr w:type="spellEnd"/>
      <w:r w:rsidRPr="00BE0280">
        <w:rPr>
          <w:rFonts w:eastAsia="Times New Roman" w:cstheme="minorHAnsi"/>
          <w:i/>
          <w:iCs/>
          <w:color w:val="000000"/>
          <w:lang w:eastAsia="en-CA"/>
        </w:rPr>
        <w:t xml:space="preserve"> Jr. v </w:t>
      </w:r>
      <w:proofErr w:type="spellStart"/>
      <w:r w:rsidRPr="00BE0280">
        <w:rPr>
          <w:rFonts w:eastAsia="Times New Roman" w:cstheme="minorHAnsi"/>
          <w:i/>
          <w:iCs/>
          <w:color w:val="000000"/>
          <w:lang w:eastAsia="en-CA"/>
        </w:rPr>
        <w:t>Tipay</w:t>
      </w:r>
      <w:proofErr w:type="spellEnd"/>
      <w:r w:rsidRPr="00BE0280">
        <w:rPr>
          <w:rFonts w:eastAsia="Times New Roman" w:cstheme="minorHAnsi"/>
          <w:color w:val="000000"/>
          <w:lang w:eastAsia="en-CA"/>
        </w:rPr>
        <w:t>, </w:t>
      </w:r>
      <w:hyperlink r:id="rId2" w:history="1">
        <w:r w:rsidRPr="00BE0280">
          <w:rPr>
            <w:rFonts w:eastAsia="Times New Roman" w:cstheme="minorHAnsi"/>
            <w:color w:val="027ABB"/>
            <w:u w:val="single"/>
            <w:lang w:eastAsia="en-CA"/>
          </w:rPr>
          <w:t>2022 ONSC 1441</w:t>
        </w:r>
      </w:hyperlink>
      <w:r w:rsidRPr="00BE0280">
        <w:rPr>
          <w:rFonts w:eastAsia="Times New Roman" w:cstheme="minorHAnsi"/>
          <w:color w:val="000000"/>
          <w:lang w:eastAsia="en-CA"/>
        </w:rPr>
        <w:t> at para </w:t>
      </w:r>
      <w:hyperlink r:id="rId3" w:anchor="par24" w:history="1">
        <w:r w:rsidRPr="00BE0280">
          <w:rPr>
            <w:rFonts w:eastAsia="Times New Roman" w:cstheme="minorHAnsi"/>
            <w:color w:val="027ABB"/>
            <w:u w:val="single"/>
            <w:lang w:eastAsia="en-CA"/>
          </w:rPr>
          <w:t>24</w:t>
        </w:r>
      </w:hyperlink>
      <w:r w:rsidRPr="00BE0280">
        <w:rPr>
          <w:rFonts w:eastAsia="Times New Roman" w:cstheme="minorHAnsi"/>
          <w:color w:val="000000"/>
          <w:lang w:eastAsia="en-CA"/>
        </w:rPr>
        <w:t> [</w:t>
      </w:r>
      <w:proofErr w:type="spellStart"/>
      <w:r w:rsidRPr="00BE0280">
        <w:rPr>
          <w:rFonts w:eastAsia="Times New Roman" w:cstheme="minorHAnsi"/>
          <w:i/>
          <w:iCs/>
          <w:color w:val="000000"/>
          <w:lang w:eastAsia="en-CA"/>
        </w:rPr>
        <w:t>Tipay</w:t>
      </w:r>
      <w:proofErr w:type="spellEnd"/>
      <w:r w:rsidRPr="00BE0280">
        <w:rPr>
          <w:rFonts w:eastAsia="Times New Roman" w:cstheme="minorHAnsi"/>
          <w:color w:val="000000"/>
          <w:lang w:eastAsia="en-CA"/>
        </w:rPr>
        <w:t>]; </w:t>
      </w:r>
      <w:r w:rsidRPr="00BE0280">
        <w:rPr>
          <w:rFonts w:eastAsia="Times New Roman" w:cstheme="minorHAnsi"/>
          <w:i/>
          <w:iCs/>
          <w:color w:val="000000"/>
          <w:lang w:eastAsia="en-CA"/>
        </w:rPr>
        <w:t xml:space="preserve">Steiner v </w:t>
      </w:r>
      <w:proofErr w:type="spellStart"/>
      <w:r w:rsidRPr="00BE0280">
        <w:rPr>
          <w:rFonts w:eastAsia="Times New Roman" w:cstheme="minorHAnsi"/>
          <w:i/>
          <w:iCs/>
          <w:color w:val="000000"/>
          <w:lang w:eastAsia="en-CA"/>
        </w:rPr>
        <w:t>Mazzotta</w:t>
      </w:r>
      <w:proofErr w:type="spellEnd"/>
      <w:r w:rsidRPr="00BE0280">
        <w:rPr>
          <w:rFonts w:eastAsia="Times New Roman" w:cstheme="minorHAnsi"/>
          <w:color w:val="000000"/>
          <w:lang w:eastAsia="en-CA"/>
        </w:rPr>
        <w:t>, </w:t>
      </w:r>
      <w:hyperlink r:id="rId4" w:history="1">
        <w:r w:rsidRPr="00BE0280">
          <w:rPr>
            <w:rFonts w:eastAsia="Times New Roman" w:cstheme="minorHAnsi"/>
            <w:color w:val="027ABB"/>
            <w:u w:val="single"/>
            <w:lang w:eastAsia="en-CA"/>
          </w:rPr>
          <w:t>2022 BCSC 827</w:t>
        </w:r>
      </w:hyperlink>
      <w:r w:rsidRPr="00BE0280">
        <w:rPr>
          <w:rFonts w:eastAsia="Times New Roman" w:cstheme="minorHAnsi"/>
          <w:color w:val="000000"/>
          <w:lang w:eastAsia="en-CA"/>
        </w:rPr>
        <w:t> at para </w:t>
      </w:r>
      <w:hyperlink r:id="rId5" w:anchor="par5" w:history="1">
        <w:r w:rsidRPr="00BE0280">
          <w:rPr>
            <w:rFonts w:eastAsia="Times New Roman" w:cstheme="minorHAnsi"/>
            <w:color w:val="027ABB"/>
            <w:u w:val="single"/>
            <w:lang w:eastAsia="en-CA"/>
          </w:rPr>
          <w:t>5</w:t>
        </w:r>
      </w:hyperlink>
      <w:r w:rsidRPr="00BE0280">
        <w:rPr>
          <w:rFonts w:eastAsia="Times New Roman" w:cstheme="minorHAnsi"/>
          <w:color w:val="000000"/>
          <w:lang w:eastAsia="en-CA"/>
        </w:rPr>
        <w:t> [</w:t>
      </w:r>
      <w:r w:rsidRPr="00BE0280">
        <w:rPr>
          <w:rFonts w:eastAsia="Times New Roman" w:cstheme="minorHAnsi"/>
          <w:i/>
          <w:iCs/>
          <w:color w:val="000000"/>
          <w:lang w:eastAsia="en-CA"/>
        </w:rPr>
        <w:t>Steiner</w:t>
      </w:r>
      <w:r w:rsidRPr="00BE0280">
        <w:rPr>
          <w:rFonts w:eastAsia="Times New Roman" w:cstheme="minorHAnsi"/>
          <w:color w:val="000000"/>
          <w:lang w:eastAsia="en-CA"/>
        </w:rPr>
        <w:t>]; </w:t>
      </w:r>
      <w:r w:rsidRPr="00BE0280">
        <w:rPr>
          <w:rFonts w:eastAsia="Times New Roman" w:cstheme="minorHAnsi"/>
          <w:i/>
          <w:iCs/>
          <w:color w:val="000000"/>
          <w:lang w:eastAsia="en-CA"/>
        </w:rPr>
        <w:t xml:space="preserve">Rashid v </w:t>
      </w:r>
      <w:proofErr w:type="spellStart"/>
      <w:r w:rsidRPr="00BE0280">
        <w:rPr>
          <w:rFonts w:eastAsia="Times New Roman" w:cstheme="minorHAnsi"/>
          <w:i/>
          <w:iCs/>
          <w:color w:val="000000"/>
          <w:lang w:eastAsia="en-CA"/>
        </w:rPr>
        <w:t>Avanesov</w:t>
      </w:r>
      <w:proofErr w:type="spellEnd"/>
      <w:r w:rsidRPr="00BE0280">
        <w:rPr>
          <w:rFonts w:eastAsia="Times New Roman" w:cstheme="minorHAnsi"/>
          <w:color w:val="000000"/>
          <w:lang w:eastAsia="en-CA"/>
        </w:rPr>
        <w:t>, </w:t>
      </w:r>
      <w:hyperlink r:id="rId6" w:history="1">
        <w:r w:rsidRPr="00BE0280">
          <w:rPr>
            <w:rFonts w:eastAsia="Times New Roman" w:cstheme="minorHAnsi"/>
            <w:color w:val="027ABB"/>
            <w:u w:val="single"/>
            <w:lang w:eastAsia="en-CA"/>
          </w:rPr>
          <w:t>2022 ONSC 3401</w:t>
        </w:r>
      </w:hyperlink>
      <w:r w:rsidRPr="00BE0280">
        <w:rPr>
          <w:rFonts w:eastAsia="Times New Roman" w:cstheme="minorHAnsi"/>
          <w:color w:val="000000"/>
          <w:lang w:eastAsia="en-CA"/>
        </w:rPr>
        <w:t>  at para </w:t>
      </w:r>
      <w:hyperlink r:id="rId7" w:anchor="par85" w:history="1">
        <w:r w:rsidRPr="00BE0280">
          <w:rPr>
            <w:rFonts w:eastAsia="Times New Roman" w:cstheme="minorHAnsi"/>
            <w:color w:val="027ABB"/>
            <w:u w:val="single"/>
            <w:lang w:eastAsia="en-CA"/>
          </w:rPr>
          <w:t>85</w:t>
        </w:r>
      </w:hyperlink>
      <w:r w:rsidRPr="00BE0280">
        <w:rPr>
          <w:rFonts w:eastAsia="Times New Roman" w:cstheme="minorHAnsi"/>
          <w:color w:val="000000"/>
          <w:lang w:eastAsia="en-CA"/>
        </w:rPr>
        <w:t>; </w:t>
      </w:r>
      <w:r w:rsidRPr="00BE0280">
        <w:rPr>
          <w:rFonts w:eastAsia="Times New Roman" w:cstheme="minorHAnsi"/>
          <w:i/>
          <w:iCs/>
          <w:color w:val="000000"/>
          <w:lang w:eastAsia="en-CA"/>
        </w:rPr>
        <w:t>Davies v Todd</w:t>
      </w:r>
      <w:r w:rsidRPr="00BE0280">
        <w:rPr>
          <w:rFonts w:eastAsia="Times New Roman" w:cstheme="minorHAnsi"/>
          <w:color w:val="000000"/>
          <w:lang w:eastAsia="en-CA"/>
        </w:rPr>
        <w:t>, </w:t>
      </w:r>
      <w:hyperlink r:id="rId8" w:history="1">
        <w:r w:rsidRPr="00BE0280">
          <w:rPr>
            <w:rFonts w:eastAsia="Times New Roman" w:cstheme="minorHAnsi"/>
            <w:color w:val="027ABB"/>
            <w:u w:val="single"/>
            <w:lang w:eastAsia="en-CA"/>
          </w:rPr>
          <w:t>2022 ONCJ 178</w:t>
        </w:r>
      </w:hyperlink>
      <w:r w:rsidRPr="00BE0280">
        <w:rPr>
          <w:rFonts w:eastAsia="Times New Roman" w:cstheme="minorHAnsi"/>
          <w:color w:val="000000"/>
          <w:lang w:eastAsia="en-CA"/>
        </w:rPr>
        <w:t> at para </w:t>
      </w:r>
      <w:hyperlink r:id="rId9" w:anchor="par44" w:history="1">
        <w:r w:rsidRPr="00BE0280">
          <w:rPr>
            <w:rFonts w:eastAsia="Times New Roman" w:cstheme="minorHAnsi"/>
            <w:color w:val="027ABB"/>
            <w:u w:val="single"/>
            <w:lang w:eastAsia="en-CA"/>
          </w:rPr>
          <w:t>44</w:t>
        </w:r>
      </w:hyperlink>
      <w:r w:rsidRPr="00BE0280">
        <w:rPr>
          <w:rFonts w:eastAsia="Times New Roman" w:cstheme="minorHAnsi"/>
          <w:color w:val="000000"/>
          <w:lang w:eastAsia="en-CA"/>
        </w:rPr>
        <w:t> [</w:t>
      </w:r>
      <w:r w:rsidRPr="00BE0280">
        <w:rPr>
          <w:rFonts w:eastAsia="Times New Roman" w:cstheme="minorHAnsi"/>
          <w:i/>
          <w:iCs/>
          <w:color w:val="000000"/>
          <w:lang w:eastAsia="en-CA"/>
        </w:rPr>
        <w:t>Davies</w:t>
      </w:r>
      <w:r w:rsidRPr="00BE0280">
        <w:rPr>
          <w:rFonts w:eastAsia="Times New Roman" w:cstheme="minorHAnsi"/>
          <w:color w:val="000000"/>
          <w:lang w:eastAsia="en-CA"/>
        </w:rPr>
        <w:t>]; and </w:t>
      </w:r>
      <w:r w:rsidRPr="00BE0280">
        <w:rPr>
          <w:rFonts w:eastAsia="Times New Roman" w:cstheme="minorHAnsi"/>
          <w:i/>
          <w:iCs/>
          <w:color w:val="000000"/>
          <w:lang w:eastAsia="en-CA"/>
        </w:rPr>
        <w:t>G.W. v C.M., </w:t>
      </w:r>
      <w:hyperlink r:id="rId10" w:history="1">
        <w:r w:rsidRPr="00BE0280">
          <w:rPr>
            <w:rFonts w:eastAsia="Times New Roman" w:cstheme="minorHAnsi"/>
            <w:i/>
            <w:iCs/>
            <w:color w:val="027ABB"/>
            <w:u w:val="single"/>
            <w:lang w:eastAsia="en-CA"/>
          </w:rPr>
          <w:t>2022 BCPC 29</w:t>
        </w:r>
      </w:hyperlink>
      <w:r w:rsidRPr="00BE0280">
        <w:rPr>
          <w:rFonts w:eastAsia="Times New Roman" w:cstheme="minorHAnsi"/>
          <w:i/>
          <w:iCs/>
          <w:color w:val="000000"/>
          <w:lang w:eastAsia="en-CA"/>
        </w:rPr>
        <w:t> at para </w:t>
      </w:r>
      <w:hyperlink r:id="rId11" w:anchor="par5" w:history="1">
        <w:r w:rsidRPr="00BE0280">
          <w:rPr>
            <w:rFonts w:eastAsia="Times New Roman" w:cstheme="minorHAnsi"/>
            <w:i/>
            <w:iCs/>
            <w:color w:val="027ABB"/>
            <w:u w:val="single"/>
            <w:lang w:eastAsia="en-CA"/>
          </w:rPr>
          <w:t>5</w:t>
        </w:r>
      </w:hyperlink>
    </w:p>
  </w:footnote>
  <w:footnote w:id="4">
    <w:p w14:paraId="30B4BE89" w14:textId="3D8B3F26" w:rsidR="00BE0280" w:rsidRDefault="00BE0280">
      <w:pPr>
        <w:pStyle w:val="FootnoteText"/>
      </w:pPr>
      <w:r>
        <w:rPr>
          <w:rStyle w:val="FootnoteReference"/>
        </w:rPr>
        <w:footnoteRef/>
      </w:r>
      <w:r>
        <w:t xml:space="preserve"> </w:t>
      </w:r>
      <w:r w:rsidRPr="00BE0280">
        <w:t xml:space="preserve">OMS at para 112; </w:t>
      </w:r>
      <w:proofErr w:type="spellStart"/>
      <w:r w:rsidRPr="00BE0280">
        <w:t>Manzon</w:t>
      </w:r>
      <w:proofErr w:type="spellEnd"/>
      <w:r w:rsidRPr="00BE0280">
        <w:t xml:space="preserve"> v Carruthers, 2020 ONSC 6511 at para 18; Rouse v Howard, 2022 ONCJ 23 at para 13; T.K. v J.W., 2022 BCPC 16 at para 11 [T.K.]; K.K. v M.A., 2022 NBQB 30 at para 109 [K.K.]; P.R. v S.R., 2022 PESC 7 at para 54, 68 RFL (8th) 328 [P.R.]; and K.M.S. v K.B.S., 2022 SKQB 57 at paras 13 and 18 [K.M.S.].</w:t>
      </w:r>
    </w:p>
  </w:footnote>
  <w:footnote w:id="5">
    <w:p w14:paraId="1DF603DE" w14:textId="6E36F5DE" w:rsidR="0022249B" w:rsidRDefault="0022249B">
      <w:pPr>
        <w:pStyle w:val="FootnoteText"/>
      </w:pPr>
      <w:r>
        <w:rPr>
          <w:rStyle w:val="FootnoteReference"/>
        </w:rPr>
        <w:footnoteRef/>
      </w:r>
      <w:r>
        <w:t xml:space="preserve"> </w:t>
      </w:r>
      <w:r w:rsidRPr="0022249B">
        <w:t xml:space="preserve">OMS at para 113; K.M.S. at paras 13 and 18; I.S. v J.W., 2021 ONSC 1194 at paras 182–183 [I.S.]; A.B.S. v S.S., 2022 ONSC 1368 at para 4 [A.B.S.]; Warren v Charlton, 2022 ONSC 1088 at para 9, 70 RFL (8th) 388 [Warren]; Campbell v </w:t>
      </w:r>
      <w:proofErr w:type="spellStart"/>
      <w:r w:rsidRPr="0022249B">
        <w:t>Heffern</w:t>
      </w:r>
      <w:proofErr w:type="spellEnd"/>
      <w:r w:rsidRPr="0022249B">
        <w:t>, 2021 ONSC 5870 at para 10, 68 RFL (8th) 417 [Campbell]; J.F.P. v J.A.G., 2022 BCPC 44 at para 19; Saint-</w:t>
      </w:r>
      <w:proofErr w:type="spellStart"/>
      <w:r w:rsidRPr="0022249B">
        <w:t>Phard</w:t>
      </w:r>
      <w:proofErr w:type="spellEnd"/>
      <w:r w:rsidRPr="0022249B">
        <w:t xml:space="preserve"> v Saint-</w:t>
      </w:r>
      <w:proofErr w:type="spellStart"/>
      <w:r w:rsidRPr="0022249B">
        <w:t>Phard</w:t>
      </w:r>
      <w:proofErr w:type="spellEnd"/>
      <w:r w:rsidRPr="0022249B">
        <w:t>, 2021 ONSC 6910 at para 7, 63 RFL (8th) 92 [Saint-</w:t>
      </w:r>
      <w:proofErr w:type="spellStart"/>
      <w:r w:rsidRPr="0022249B">
        <w:t>Phard</w:t>
      </w:r>
      <w:proofErr w:type="spellEnd"/>
      <w:r w:rsidRPr="0022249B">
        <w:t>]; L.M. v C.O., 2022 ONSC 394 at para 18; G.W. at para 5; K.K. at para 109; P.R. at para 54; and Davies at para 43.</w:t>
      </w:r>
    </w:p>
  </w:footnote>
  <w:footnote w:id="6">
    <w:p w14:paraId="4D68F7E7" w14:textId="62239D93" w:rsidR="0022249B" w:rsidRDefault="0022249B">
      <w:pPr>
        <w:pStyle w:val="FootnoteText"/>
      </w:pPr>
      <w:r>
        <w:rPr>
          <w:rStyle w:val="FootnoteReference"/>
        </w:rPr>
        <w:footnoteRef/>
      </w:r>
      <w:r>
        <w:t xml:space="preserve"> </w:t>
      </w:r>
      <w:proofErr w:type="spellStart"/>
      <w:r w:rsidRPr="0022249B">
        <w:rPr>
          <w:i/>
          <w:iCs/>
        </w:rPr>
        <w:t>Sembaliuk</w:t>
      </w:r>
      <w:proofErr w:type="spellEnd"/>
      <w:r w:rsidRPr="0022249B">
        <w:rPr>
          <w:i/>
          <w:iCs/>
        </w:rPr>
        <w:t xml:space="preserve"> v </w:t>
      </w:r>
      <w:proofErr w:type="spellStart"/>
      <w:r w:rsidRPr="0022249B">
        <w:rPr>
          <w:i/>
          <w:iCs/>
        </w:rPr>
        <w:t>Sembaliuk</w:t>
      </w:r>
      <w:proofErr w:type="spellEnd"/>
      <w:r w:rsidRPr="0022249B">
        <w:t>, </w:t>
      </w:r>
      <w:hyperlink r:id="rId12" w:history="1">
        <w:r w:rsidRPr="0022249B">
          <w:rPr>
            <w:rStyle w:val="Hyperlink"/>
          </w:rPr>
          <w:t>2022 ABQB 62</w:t>
        </w:r>
      </w:hyperlink>
      <w:r w:rsidRPr="0022249B">
        <w:t> at para </w:t>
      </w:r>
      <w:hyperlink r:id="rId13" w:anchor="par16" w:history="1">
        <w:r w:rsidRPr="0022249B">
          <w:rPr>
            <w:rStyle w:val="Hyperlink"/>
          </w:rPr>
          <w:t>16</w:t>
        </w:r>
      </w:hyperlink>
      <w:r w:rsidRPr="0022249B">
        <w:t>; </w:t>
      </w:r>
      <w:r w:rsidRPr="0022249B">
        <w:rPr>
          <w:i/>
          <w:iCs/>
        </w:rPr>
        <w:t>A.M. v C.D.</w:t>
      </w:r>
      <w:r w:rsidRPr="0022249B">
        <w:t>, </w:t>
      </w:r>
      <w:hyperlink r:id="rId14" w:history="1">
        <w:r w:rsidRPr="0022249B">
          <w:rPr>
            <w:rStyle w:val="Hyperlink"/>
          </w:rPr>
          <w:t>2022 ONSC 1516</w:t>
        </w:r>
      </w:hyperlink>
      <w:r w:rsidRPr="0022249B">
        <w:t> at para </w:t>
      </w:r>
      <w:hyperlink r:id="rId15" w:anchor="par28" w:history="1">
        <w:r w:rsidRPr="0022249B">
          <w:rPr>
            <w:rStyle w:val="Hyperlink"/>
          </w:rPr>
          <w:t>28</w:t>
        </w:r>
      </w:hyperlink>
      <w:r w:rsidRPr="0022249B">
        <w:t>; </w:t>
      </w:r>
      <w:r w:rsidRPr="0022249B">
        <w:rPr>
          <w:i/>
          <w:iCs/>
        </w:rPr>
        <w:t>I.S. </w:t>
      </w:r>
      <w:r w:rsidRPr="0022249B">
        <w:t>at paras </w:t>
      </w:r>
      <w:hyperlink r:id="rId16" w:anchor="par182" w:history="1">
        <w:r w:rsidRPr="0022249B">
          <w:rPr>
            <w:rStyle w:val="Hyperlink"/>
          </w:rPr>
          <w:t>182-183</w:t>
        </w:r>
      </w:hyperlink>
      <w:r w:rsidRPr="0022249B">
        <w:t>; </w:t>
      </w:r>
      <w:r w:rsidRPr="0022249B">
        <w:rPr>
          <w:i/>
          <w:iCs/>
        </w:rPr>
        <w:t>A.B.S. </w:t>
      </w:r>
      <w:r w:rsidRPr="0022249B">
        <w:t>at para </w:t>
      </w:r>
      <w:hyperlink r:id="rId17" w:anchor="par4" w:history="1">
        <w:r w:rsidRPr="0022249B">
          <w:rPr>
            <w:rStyle w:val="Hyperlink"/>
          </w:rPr>
          <w:t>4</w:t>
        </w:r>
      </w:hyperlink>
      <w:r w:rsidRPr="0022249B">
        <w:t>; </w:t>
      </w:r>
      <w:r w:rsidRPr="0022249B">
        <w:rPr>
          <w:i/>
          <w:iCs/>
        </w:rPr>
        <w:t>Steiner </w:t>
      </w:r>
      <w:r w:rsidRPr="0022249B">
        <w:t>at para </w:t>
      </w:r>
      <w:hyperlink r:id="rId18" w:anchor="par5" w:history="1">
        <w:r w:rsidRPr="0022249B">
          <w:rPr>
            <w:rStyle w:val="Hyperlink"/>
          </w:rPr>
          <w:t>5</w:t>
        </w:r>
      </w:hyperlink>
      <w:r w:rsidRPr="0022249B">
        <w:t>; </w:t>
      </w:r>
      <w:r w:rsidRPr="0022249B">
        <w:rPr>
          <w:i/>
          <w:iCs/>
        </w:rPr>
        <w:t>Campbell </w:t>
      </w:r>
      <w:r w:rsidRPr="0022249B">
        <w:t>at para </w:t>
      </w:r>
      <w:hyperlink r:id="rId19" w:anchor="par10" w:history="1">
        <w:r w:rsidRPr="0022249B">
          <w:rPr>
            <w:rStyle w:val="Hyperlink"/>
          </w:rPr>
          <w:t>10</w:t>
        </w:r>
      </w:hyperlink>
      <w:r w:rsidRPr="0022249B">
        <w:t>; </w:t>
      </w:r>
      <w:r w:rsidRPr="0022249B">
        <w:rPr>
          <w:i/>
          <w:iCs/>
        </w:rPr>
        <w:t>Saint-</w:t>
      </w:r>
      <w:proofErr w:type="spellStart"/>
      <w:r w:rsidRPr="0022249B">
        <w:rPr>
          <w:i/>
          <w:iCs/>
        </w:rPr>
        <w:t>Phard</w:t>
      </w:r>
      <w:proofErr w:type="spellEnd"/>
      <w:r w:rsidRPr="0022249B">
        <w:rPr>
          <w:i/>
          <w:iCs/>
        </w:rPr>
        <w:t> </w:t>
      </w:r>
      <w:r w:rsidRPr="0022249B">
        <w:t>at para </w:t>
      </w:r>
      <w:hyperlink r:id="rId20" w:anchor="par7" w:history="1">
        <w:r w:rsidRPr="0022249B">
          <w:rPr>
            <w:rStyle w:val="Hyperlink"/>
          </w:rPr>
          <w:t>7</w:t>
        </w:r>
      </w:hyperlink>
      <w:r w:rsidRPr="0022249B">
        <w:t>; </w:t>
      </w:r>
      <w:r w:rsidRPr="0022249B">
        <w:rPr>
          <w:i/>
          <w:iCs/>
        </w:rPr>
        <w:t>K.K. </w:t>
      </w:r>
      <w:r w:rsidRPr="0022249B">
        <w:t>at para </w:t>
      </w:r>
      <w:hyperlink r:id="rId21" w:anchor="par109" w:history="1">
        <w:r w:rsidRPr="0022249B">
          <w:rPr>
            <w:rStyle w:val="Hyperlink"/>
          </w:rPr>
          <w:t>109</w:t>
        </w:r>
      </w:hyperlink>
      <w:r w:rsidRPr="0022249B">
        <w:t>; </w:t>
      </w:r>
      <w:r w:rsidRPr="0022249B">
        <w:rPr>
          <w:i/>
          <w:iCs/>
        </w:rPr>
        <w:t>G.W. </w:t>
      </w:r>
      <w:r w:rsidRPr="0022249B">
        <w:t>at para </w:t>
      </w:r>
      <w:hyperlink r:id="rId22" w:anchor="par5" w:history="1">
        <w:r w:rsidRPr="0022249B">
          <w:rPr>
            <w:rStyle w:val="Hyperlink"/>
          </w:rPr>
          <w:t>5</w:t>
        </w:r>
      </w:hyperlink>
      <w:r w:rsidRPr="0022249B">
        <w:t>; </w:t>
      </w:r>
      <w:r w:rsidRPr="0022249B">
        <w:rPr>
          <w:i/>
          <w:iCs/>
        </w:rPr>
        <w:t>P.R. </w:t>
      </w:r>
      <w:r w:rsidRPr="0022249B">
        <w:t>at para </w:t>
      </w:r>
      <w:hyperlink r:id="rId23" w:anchor="par54" w:history="1">
        <w:r w:rsidRPr="0022249B">
          <w:rPr>
            <w:rStyle w:val="Hyperlink"/>
          </w:rPr>
          <w:t>54</w:t>
        </w:r>
      </w:hyperlink>
      <w:r w:rsidRPr="0022249B">
        <w:t>; </w:t>
      </w:r>
      <w:proofErr w:type="spellStart"/>
      <w:r w:rsidRPr="0022249B">
        <w:rPr>
          <w:i/>
          <w:iCs/>
        </w:rPr>
        <w:t>Tipay</w:t>
      </w:r>
      <w:proofErr w:type="spellEnd"/>
      <w:r w:rsidRPr="0022249B">
        <w:t> at para </w:t>
      </w:r>
      <w:hyperlink r:id="rId24" w:anchor="par17" w:history="1">
        <w:r w:rsidRPr="0022249B">
          <w:rPr>
            <w:rStyle w:val="Hyperlink"/>
          </w:rPr>
          <w:t>17</w:t>
        </w:r>
      </w:hyperlink>
      <w:r w:rsidRPr="0022249B">
        <w:t>; and </w:t>
      </w:r>
      <w:r w:rsidRPr="0022249B">
        <w:rPr>
          <w:i/>
          <w:iCs/>
        </w:rPr>
        <w:t>Davies</w:t>
      </w:r>
      <w:r w:rsidRPr="0022249B">
        <w:t> at para </w:t>
      </w:r>
      <w:hyperlink r:id="rId25" w:anchor="par37" w:history="1">
        <w:r w:rsidRPr="0022249B">
          <w:rPr>
            <w:rStyle w:val="Hyperlink"/>
          </w:rPr>
          <w:t>37</w:t>
        </w:r>
      </w:hyperlink>
      <w:r w:rsidRPr="0022249B">
        <w:t>.</w:t>
      </w:r>
    </w:p>
  </w:footnote>
  <w:footnote w:id="7">
    <w:p w14:paraId="016F4B24" w14:textId="22FFEAB1" w:rsidR="0022249B" w:rsidRDefault="0022249B">
      <w:pPr>
        <w:pStyle w:val="FootnoteText"/>
      </w:pPr>
      <w:r>
        <w:rPr>
          <w:rStyle w:val="FootnoteReference"/>
        </w:rPr>
        <w:footnoteRef/>
      </w:r>
      <w:r>
        <w:t xml:space="preserve"> </w:t>
      </w:r>
      <w:r w:rsidRPr="0022249B">
        <w:rPr>
          <w:i/>
          <w:iCs/>
        </w:rPr>
        <w:t>OMS</w:t>
      </w:r>
      <w:r w:rsidRPr="0022249B">
        <w:t> at para 113; </w:t>
      </w:r>
      <w:r w:rsidRPr="0022249B">
        <w:rPr>
          <w:i/>
          <w:iCs/>
        </w:rPr>
        <w:t>T.K.</w:t>
      </w:r>
      <w:r w:rsidRPr="0022249B">
        <w:t> at para </w:t>
      </w:r>
      <w:hyperlink r:id="rId26" w:anchor="par11" w:history="1">
        <w:r w:rsidRPr="0022249B">
          <w:rPr>
            <w:rStyle w:val="Hyperlink"/>
          </w:rPr>
          <w:t>11</w:t>
        </w:r>
      </w:hyperlink>
      <w:r w:rsidRPr="0022249B">
        <w:t>; </w:t>
      </w:r>
      <w:r w:rsidRPr="0022249B">
        <w:rPr>
          <w:i/>
          <w:iCs/>
        </w:rPr>
        <w:t>Campbell </w:t>
      </w:r>
      <w:r w:rsidRPr="0022249B">
        <w:t>at para </w:t>
      </w:r>
      <w:hyperlink r:id="rId27" w:anchor="par10" w:history="1">
        <w:r w:rsidRPr="0022249B">
          <w:rPr>
            <w:rStyle w:val="Hyperlink"/>
          </w:rPr>
          <w:t>10</w:t>
        </w:r>
      </w:hyperlink>
      <w:r w:rsidRPr="0022249B">
        <w:t>; and </w:t>
      </w:r>
      <w:r w:rsidRPr="0022249B">
        <w:rPr>
          <w:i/>
          <w:iCs/>
        </w:rPr>
        <w:t>K.M.S. </w:t>
      </w:r>
      <w:r w:rsidRPr="0022249B">
        <w:t>at paras </w:t>
      </w:r>
      <w:hyperlink r:id="rId28" w:anchor="par13" w:history="1">
        <w:r w:rsidRPr="0022249B">
          <w:rPr>
            <w:rStyle w:val="Hyperlink"/>
          </w:rPr>
          <w:t>13 and 18</w:t>
        </w:r>
      </w:hyperlink>
      <w:r w:rsidRPr="0022249B">
        <w:t>.</w:t>
      </w:r>
    </w:p>
  </w:footnote>
  <w:footnote w:id="8">
    <w:p w14:paraId="237DBAA6" w14:textId="757D7EBA" w:rsidR="0022249B" w:rsidRDefault="0022249B">
      <w:pPr>
        <w:pStyle w:val="FootnoteText"/>
      </w:pPr>
      <w:r>
        <w:rPr>
          <w:rStyle w:val="FootnoteReference"/>
        </w:rPr>
        <w:footnoteRef/>
      </w:r>
      <w:r>
        <w:t xml:space="preserve"> </w:t>
      </w:r>
      <w:r w:rsidRPr="0022249B">
        <w:rPr>
          <w:i/>
          <w:iCs/>
        </w:rPr>
        <w:t>OMS </w:t>
      </w:r>
      <w:r w:rsidRPr="0022249B">
        <w:t>at para 113 and </w:t>
      </w:r>
      <w:r w:rsidRPr="0022249B">
        <w:rPr>
          <w:i/>
          <w:iCs/>
        </w:rPr>
        <w:t>K.M.S. </w:t>
      </w:r>
      <w:r w:rsidRPr="0022249B">
        <w:t>at para </w:t>
      </w:r>
      <w:hyperlink r:id="rId29" w:anchor="par18" w:history="1">
        <w:r w:rsidRPr="0022249B">
          <w:rPr>
            <w:rStyle w:val="Hyperlink"/>
          </w:rPr>
          <w:t>18</w:t>
        </w:r>
      </w:hyperlink>
    </w:p>
  </w:footnote>
  <w:footnote w:id="9">
    <w:p w14:paraId="436C5EB6" w14:textId="261C8603" w:rsidR="005541B5" w:rsidRDefault="005541B5">
      <w:pPr>
        <w:pStyle w:val="FootnoteText"/>
      </w:pPr>
      <w:r>
        <w:rPr>
          <w:rStyle w:val="FootnoteReference"/>
        </w:rPr>
        <w:footnoteRef/>
      </w:r>
      <w:r>
        <w:t xml:space="preserve"> </w:t>
      </w:r>
      <w:r w:rsidRPr="005541B5">
        <w:rPr>
          <w:i/>
          <w:iCs/>
        </w:rPr>
        <w:t>P.R. </w:t>
      </w:r>
      <w:r w:rsidRPr="005541B5">
        <w:t>at para </w:t>
      </w:r>
      <w:hyperlink r:id="rId30" w:anchor="par54" w:history="1">
        <w:r w:rsidRPr="005541B5">
          <w:rPr>
            <w:rStyle w:val="Hyperlink"/>
          </w:rPr>
          <w:t>54</w:t>
        </w:r>
      </w:hyperlink>
      <w:r w:rsidRPr="005541B5">
        <w:t>.</w:t>
      </w:r>
    </w:p>
  </w:footnote>
  <w:footnote w:id="10">
    <w:p w14:paraId="259AEE0E" w14:textId="21481188" w:rsidR="00B16139" w:rsidRDefault="00B16139">
      <w:pPr>
        <w:pStyle w:val="FootnoteText"/>
      </w:pPr>
      <w:r>
        <w:rPr>
          <w:rStyle w:val="FootnoteReference"/>
        </w:rPr>
        <w:footnoteRef/>
      </w:r>
      <w:r>
        <w:t xml:space="preserve"> “Why are we vaccinating </w:t>
      </w:r>
      <w:r w:rsidR="00C63FC5">
        <w:t>Children</w:t>
      </w:r>
      <w:r>
        <w:t xml:space="preserve">” </w:t>
      </w:r>
      <w:r w:rsidRPr="00C63FC5">
        <w:rPr>
          <w:i/>
          <w:iCs/>
        </w:rPr>
        <w:t>Toxicology Reports</w:t>
      </w:r>
      <w:r>
        <w:t xml:space="preserve"> 8 (2021) 1665-1684</w:t>
      </w:r>
      <w:r>
        <w:br/>
      </w:r>
    </w:p>
  </w:footnote>
  <w:footnote w:id="11">
    <w:p w14:paraId="353561C0" w14:textId="77777777" w:rsidR="00041387" w:rsidRPr="009F1404" w:rsidRDefault="00041387" w:rsidP="00041387">
      <w:pPr>
        <w:pStyle w:val="FootnoteText"/>
      </w:pPr>
      <w:r>
        <w:rPr>
          <w:rStyle w:val="FootnoteReference"/>
        </w:rPr>
        <w:footnoteRef/>
      </w:r>
      <w:r>
        <w:t xml:space="preserve"> </w:t>
      </w:r>
      <w:r w:rsidRPr="009F1404">
        <w:rPr>
          <w:i/>
          <w:iCs/>
        </w:rPr>
        <w:t>J.N. v C.G.</w:t>
      </w:r>
      <w:r w:rsidRPr="009F1404">
        <w:t>, </w:t>
      </w:r>
      <w:hyperlink r:id="rId31" w:history="1">
        <w:r w:rsidRPr="009F1404">
          <w:rPr>
            <w:rStyle w:val="Hyperlink"/>
          </w:rPr>
          <w:t>2022 ONSC 1198</w:t>
        </w:r>
      </w:hyperlink>
      <w:r w:rsidRPr="009F1404">
        <w:t> at para </w:t>
      </w:r>
      <w:hyperlink r:id="rId32" w:anchor="par81" w:history="1">
        <w:r w:rsidRPr="009F1404">
          <w:rPr>
            <w:rStyle w:val="Hyperlink"/>
          </w:rPr>
          <w:t>81</w:t>
        </w:r>
      </w:hyperlink>
      <w:r w:rsidRPr="009F1404">
        <w:t>, 64 RFL (8th) 277; </w:t>
      </w:r>
      <w:r w:rsidRPr="009F1404">
        <w:rPr>
          <w:i/>
          <w:iCs/>
        </w:rPr>
        <w:t>R.S.P. v H.L.C.</w:t>
      </w:r>
      <w:r w:rsidRPr="009F1404">
        <w:t>, </w:t>
      </w:r>
      <w:hyperlink r:id="rId33" w:history="1">
        <w:r w:rsidRPr="009F1404">
          <w:rPr>
            <w:rStyle w:val="Hyperlink"/>
          </w:rPr>
          <w:t>2021 ONSC 8362</w:t>
        </w:r>
      </w:hyperlink>
      <w:r w:rsidRPr="009F1404">
        <w:t> at paras </w:t>
      </w:r>
      <w:hyperlink r:id="rId34" w:anchor="par56" w:history="1">
        <w:r w:rsidRPr="009F1404">
          <w:rPr>
            <w:rStyle w:val="Hyperlink"/>
          </w:rPr>
          <w:t>56–58</w:t>
        </w:r>
      </w:hyperlink>
      <w:r w:rsidRPr="009F1404">
        <w:t>; and </w:t>
      </w:r>
      <w:r w:rsidRPr="009F1404">
        <w:rPr>
          <w:i/>
          <w:iCs/>
        </w:rPr>
        <w:t>C.M. v S.L.S.</w:t>
      </w:r>
      <w:r w:rsidRPr="009F1404">
        <w:t>, </w:t>
      </w:r>
      <w:hyperlink r:id="rId35" w:history="1">
        <w:r w:rsidRPr="009F1404">
          <w:rPr>
            <w:rStyle w:val="Hyperlink"/>
          </w:rPr>
          <w:t>2022 ONCJ 206</w:t>
        </w:r>
      </w:hyperlink>
      <w:r w:rsidRPr="009F1404">
        <w:t> at para </w:t>
      </w:r>
      <w:hyperlink r:id="rId36" w:anchor="par112" w:history="1">
        <w:r w:rsidRPr="009F1404">
          <w:rPr>
            <w:rStyle w:val="Hyperlink"/>
          </w:rPr>
          <w:t>112</w:t>
        </w:r>
      </w:hyperlink>
      <w:r w:rsidRPr="009F1404">
        <w:t>.</w:t>
      </w:r>
    </w:p>
    <w:p w14:paraId="5BF3BFD1" w14:textId="77777777" w:rsidR="00041387" w:rsidRDefault="00041387" w:rsidP="000413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7F2D"/>
    <w:multiLevelType w:val="hybridMultilevel"/>
    <w:tmpl w:val="58B21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304BE4"/>
    <w:multiLevelType w:val="hybridMultilevel"/>
    <w:tmpl w:val="6EF04B46"/>
    <w:lvl w:ilvl="0" w:tplc="35683082">
      <w:start w:val="1"/>
      <w:numFmt w:val="decimal"/>
      <w:lvlText w:val="%1."/>
      <w:lvlJc w:val="left"/>
      <w:pPr>
        <w:ind w:left="1440" w:hanging="360"/>
      </w:pPr>
      <w:rPr>
        <w:rFonts w:ascii="Times New Roman" w:eastAsia="Times New Roman" w:hAnsi="Times New Roman"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828445677">
    <w:abstractNumId w:val="1"/>
  </w:num>
  <w:num w:numId="2" w16cid:durableId="133688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ED"/>
    <w:rsid w:val="00041387"/>
    <w:rsid w:val="001A12ED"/>
    <w:rsid w:val="001C5289"/>
    <w:rsid w:val="0020013F"/>
    <w:rsid w:val="0022249B"/>
    <w:rsid w:val="002D5369"/>
    <w:rsid w:val="002F6DD6"/>
    <w:rsid w:val="00304770"/>
    <w:rsid w:val="00364128"/>
    <w:rsid w:val="00397FB3"/>
    <w:rsid w:val="004A73B6"/>
    <w:rsid w:val="004E66FE"/>
    <w:rsid w:val="00526E7C"/>
    <w:rsid w:val="005541B5"/>
    <w:rsid w:val="0072610F"/>
    <w:rsid w:val="0082248C"/>
    <w:rsid w:val="00846A0A"/>
    <w:rsid w:val="009557F6"/>
    <w:rsid w:val="009F1404"/>
    <w:rsid w:val="00AF39FD"/>
    <w:rsid w:val="00B16139"/>
    <w:rsid w:val="00BE0280"/>
    <w:rsid w:val="00BF6564"/>
    <w:rsid w:val="00C63FC5"/>
    <w:rsid w:val="00C95938"/>
    <w:rsid w:val="00CE36AA"/>
    <w:rsid w:val="00D62A45"/>
    <w:rsid w:val="00EE24DF"/>
    <w:rsid w:val="00F36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F516"/>
  <w15:chartTrackingRefBased/>
  <w15:docId w15:val="{8260352B-4806-4EDC-928D-805D2FB2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E7C"/>
    <w:rPr>
      <w:color w:val="0563C1" w:themeColor="hyperlink"/>
      <w:u w:val="single"/>
    </w:rPr>
  </w:style>
  <w:style w:type="character" w:styleId="UnresolvedMention">
    <w:name w:val="Unresolved Mention"/>
    <w:basedOn w:val="DefaultParagraphFont"/>
    <w:uiPriority w:val="99"/>
    <w:semiHidden/>
    <w:unhideWhenUsed/>
    <w:rsid w:val="00526E7C"/>
    <w:rPr>
      <w:color w:val="605E5C"/>
      <w:shd w:val="clear" w:color="auto" w:fill="E1DFDD"/>
    </w:rPr>
  </w:style>
  <w:style w:type="paragraph" w:styleId="FootnoteText">
    <w:name w:val="footnote text"/>
    <w:basedOn w:val="Normal"/>
    <w:link w:val="FootnoteTextChar"/>
    <w:uiPriority w:val="99"/>
    <w:semiHidden/>
    <w:unhideWhenUsed/>
    <w:rsid w:val="00846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A0A"/>
    <w:rPr>
      <w:sz w:val="20"/>
      <w:szCs w:val="20"/>
    </w:rPr>
  </w:style>
  <w:style w:type="character" w:styleId="FootnoteReference">
    <w:name w:val="footnote reference"/>
    <w:basedOn w:val="DefaultParagraphFont"/>
    <w:uiPriority w:val="99"/>
    <w:semiHidden/>
    <w:unhideWhenUsed/>
    <w:rsid w:val="00846A0A"/>
    <w:rPr>
      <w:vertAlign w:val="superscript"/>
    </w:rPr>
  </w:style>
  <w:style w:type="paragraph" w:styleId="Header">
    <w:name w:val="header"/>
    <w:basedOn w:val="Normal"/>
    <w:link w:val="HeaderChar"/>
    <w:uiPriority w:val="99"/>
    <w:unhideWhenUsed/>
    <w:rsid w:val="00CE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AA"/>
  </w:style>
  <w:style w:type="paragraph" w:styleId="Footer">
    <w:name w:val="footer"/>
    <w:basedOn w:val="Normal"/>
    <w:link w:val="FooterChar"/>
    <w:uiPriority w:val="99"/>
    <w:unhideWhenUsed/>
    <w:rsid w:val="00CE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AA"/>
  </w:style>
  <w:style w:type="paragraph" w:customStyle="1" w:styleId="mainparagraph">
    <w:name w:val="mainparagraph"/>
    <w:basedOn w:val="Normal"/>
    <w:rsid w:val="009F14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E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20228">
      <w:bodyDiv w:val="1"/>
      <w:marLeft w:val="0"/>
      <w:marRight w:val="0"/>
      <w:marTop w:val="0"/>
      <w:marBottom w:val="0"/>
      <w:divBdr>
        <w:top w:val="none" w:sz="0" w:space="0" w:color="auto"/>
        <w:left w:val="none" w:sz="0" w:space="0" w:color="auto"/>
        <w:bottom w:val="none" w:sz="0" w:space="0" w:color="auto"/>
        <w:right w:val="none" w:sz="0" w:space="0" w:color="auto"/>
      </w:divBdr>
      <w:divsChild>
        <w:div w:id="53477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nlii.org/en/on/oncj/doc/2022/2022oncj178/2022oncj178.html" TargetMode="External"/><Relationship Id="rId13" Type="http://schemas.openxmlformats.org/officeDocument/2006/relationships/hyperlink" Target="https://www.canlii.org/en/ab/abqb/doc/2022/2022abqb62/2022abqb62.html" TargetMode="External"/><Relationship Id="rId18" Type="http://schemas.openxmlformats.org/officeDocument/2006/relationships/hyperlink" Target="https://www.canlii.org/en/bc/bcsc/doc/2022/2022bcsc827/2022bcsc827.html" TargetMode="External"/><Relationship Id="rId26" Type="http://schemas.openxmlformats.org/officeDocument/2006/relationships/hyperlink" Target="https://www.canlii.org/en/bc/bcpc/doc/2022/2022bcpc16/2022bcpc16.html" TargetMode="External"/><Relationship Id="rId3" Type="http://schemas.openxmlformats.org/officeDocument/2006/relationships/hyperlink" Target="https://www.canlii.org/en/on/onsc/doc/2022/2022onsc1441/2022onsc1441.html" TargetMode="External"/><Relationship Id="rId21" Type="http://schemas.openxmlformats.org/officeDocument/2006/relationships/hyperlink" Target="https://www.canlii.org/en/nb/nbqb/doc/2022/2022nbqb30/2022nbqb30.html" TargetMode="External"/><Relationship Id="rId34" Type="http://schemas.openxmlformats.org/officeDocument/2006/relationships/hyperlink" Target="https://www.canlii.org/en/on/onsc/doc/2021/2021onsc8362/2021onsc8362.html" TargetMode="External"/><Relationship Id="rId7" Type="http://schemas.openxmlformats.org/officeDocument/2006/relationships/hyperlink" Target="https://www.canlii.org/en/on/onsc/doc/2022/2022onsc3401/2022onsc3401.html" TargetMode="External"/><Relationship Id="rId12" Type="http://schemas.openxmlformats.org/officeDocument/2006/relationships/hyperlink" Target="https://www.canlii.org/en/ab/abqb/doc/2022/2022abqb62/2022abqb62.html" TargetMode="External"/><Relationship Id="rId17" Type="http://schemas.openxmlformats.org/officeDocument/2006/relationships/hyperlink" Target="https://www.canlii.org/en/on/onsc/doc/2022/2022onsc1368/2022onsc1368.html" TargetMode="External"/><Relationship Id="rId25" Type="http://schemas.openxmlformats.org/officeDocument/2006/relationships/hyperlink" Target="https://www.canlii.org/en/on/oncj/doc/2022/2022oncj178/2022oncj178.html" TargetMode="External"/><Relationship Id="rId33" Type="http://schemas.openxmlformats.org/officeDocument/2006/relationships/hyperlink" Target="https://www.canlii.org/en/on/onsc/doc/2021/2021onsc8362/2021onsc8362.html" TargetMode="External"/><Relationship Id="rId2" Type="http://schemas.openxmlformats.org/officeDocument/2006/relationships/hyperlink" Target="https://www.canlii.org/en/on/onsc/doc/2022/2022onsc1441/2022onsc1441.html" TargetMode="External"/><Relationship Id="rId16" Type="http://schemas.openxmlformats.org/officeDocument/2006/relationships/hyperlink" Target="https://www.canlii.org/en/on/onsc/doc/2021/2021onsc1194/2021onsc1194.html" TargetMode="External"/><Relationship Id="rId20" Type="http://schemas.openxmlformats.org/officeDocument/2006/relationships/hyperlink" Target="https://www.canlii.org/en/on/onsc/doc/2021/2021onsc6910/2021onsc6910.html" TargetMode="External"/><Relationship Id="rId29" Type="http://schemas.openxmlformats.org/officeDocument/2006/relationships/hyperlink" Target="https://www.canlii.org/en/sk/skqb/doc/2022/2022skqb57/2022skqb57.html" TargetMode="External"/><Relationship Id="rId1" Type="http://schemas.openxmlformats.org/officeDocument/2006/relationships/hyperlink" Target="https://www.theepochtimes.com/cory-morgan-a-dangerous-double-standard-appears-to-be-at-play-in-canadas-justice-system_5034293.html?utm_source=MB_article_paid&amp;src_src=MB_article_paid&amp;utm_campaign=mb-2023-02-06-ca&amp;src_cmp=mb-2023-02-06-ca&amp;utm_medium=email&amp;est=+SQTRJ9woPYBV8OKj7XgWkALZDK2iFvmC+w13PuPkLcTcSuDU1ywfnvbUDa7UoiAstCn&amp;utm_term=opinion1&amp;utm_content=10&amp;" TargetMode="External"/><Relationship Id="rId6" Type="http://schemas.openxmlformats.org/officeDocument/2006/relationships/hyperlink" Target="https://www.canlii.org/en/on/onsc/doc/2022/2022onsc3401/2022onsc3401.html" TargetMode="External"/><Relationship Id="rId11" Type="http://schemas.openxmlformats.org/officeDocument/2006/relationships/hyperlink" Target="https://www.canlii.org/en/bc/bcpc/doc/2022/2022bcpc29/2022bcpc29.html" TargetMode="External"/><Relationship Id="rId24" Type="http://schemas.openxmlformats.org/officeDocument/2006/relationships/hyperlink" Target="https://www.canlii.org/en/on/onsc/doc/2022/2022onsc1441/2022onsc1441.html" TargetMode="External"/><Relationship Id="rId32" Type="http://schemas.openxmlformats.org/officeDocument/2006/relationships/hyperlink" Target="https://www.canlii.org/en/on/onsc/doc/2022/2022onsc1198/2022onsc1198.html" TargetMode="External"/><Relationship Id="rId5" Type="http://schemas.openxmlformats.org/officeDocument/2006/relationships/hyperlink" Target="https://www.canlii.org/en/bc/bcsc/doc/2022/2022bcsc827/2022bcsc827.html" TargetMode="External"/><Relationship Id="rId15" Type="http://schemas.openxmlformats.org/officeDocument/2006/relationships/hyperlink" Target="https://www.canlii.org/en/on/onsc/doc/2022/2022onsc1516/2022onsc1516.html" TargetMode="External"/><Relationship Id="rId23" Type="http://schemas.openxmlformats.org/officeDocument/2006/relationships/hyperlink" Target="https://www.canlii.org/en/pe/pesctd/doc/2022/2022pesc7/2022pesc7.html" TargetMode="External"/><Relationship Id="rId28" Type="http://schemas.openxmlformats.org/officeDocument/2006/relationships/hyperlink" Target="https://www.canlii.org/en/sk/skqb/doc/2022/2022skqb57/2022skqb57.html" TargetMode="External"/><Relationship Id="rId36" Type="http://schemas.openxmlformats.org/officeDocument/2006/relationships/hyperlink" Target="https://www.canlii.org/en/on/oncj/doc/2022/2022oncj206/2022oncj206.html" TargetMode="External"/><Relationship Id="rId10" Type="http://schemas.openxmlformats.org/officeDocument/2006/relationships/hyperlink" Target="https://www.canlii.org/en/bc/bcpc/doc/2022/2022bcpc29/2022bcpc29.html" TargetMode="External"/><Relationship Id="rId19" Type="http://schemas.openxmlformats.org/officeDocument/2006/relationships/hyperlink" Target="https://www.canlii.org/en/on/onsc/doc/2021/2021onsc5870/2021onsc5870.html" TargetMode="External"/><Relationship Id="rId31" Type="http://schemas.openxmlformats.org/officeDocument/2006/relationships/hyperlink" Target="https://www.canlii.org/en/on/onsc/doc/2022/2022onsc1198/2022onsc1198.html" TargetMode="External"/><Relationship Id="rId4" Type="http://schemas.openxmlformats.org/officeDocument/2006/relationships/hyperlink" Target="https://www.canlii.org/en/bc/bcsc/doc/2022/2022bcsc827/2022bcsc827.html" TargetMode="External"/><Relationship Id="rId9" Type="http://schemas.openxmlformats.org/officeDocument/2006/relationships/hyperlink" Target="https://www.canlii.org/en/on/oncj/doc/2022/2022oncj178/2022oncj178.html" TargetMode="External"/><Relationship Id="rId14" Type="http://schemas.openxmlformats.org/officeDocument/2006/relationships/hyperlink" Target="https://www.canlii.org/en/on/onsc/doc/2022/2022onsc1516/2022onsc1516.html" TargetMode="External"/><Relationship Id="rId22" Type="http://schemas.openxmlformats.org/officeDocument/2006/relationships/hyperlink" Target="https://www.canlii.org/en/bc/bcpc/doc/2022/2022bcpc29/2022bcpc29.html" TargetMode="External"/><Relationship Id="rId27" Type="http://schemas.openxmlformats.org/officeDocument/2006/relationships/hyperlink" Target="https://www.canlii.org/en/on/onsc/doc/2021/2021onsc5870/2021onsc5870.html" TargetMode="External"/><Relationship Id="rId30" Type="http://schemas.openxmlformats.org/officeDocument/2006/relationships/hyperlink" Target="https://www.canlii.org/en/pe/pesctd/doc/2022/2022pesc7/2022pesc7.html" TargetMode="External"/><Relationship Id="rId35" Type="http://schemas.openxmlformats.org/officeDocument/2006/relationships/hyperlink" Target="https://www.canlii.org/en/on/oncj/doc/2022/2022oncj206/2022oncj2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Guizzo</dc:creator>
  <cp:keywords/>
  <dc:description/>
  <cp:lastModifiedBy>Christine Colebeck</cp:lastModifiedBy>
  <cp:revision>2</cp:revision>
  <dcterms:created xsi:type="dcterms:W3CDTF">2023-02-07T21:41:00Z</dcterms:created>
  <dcterms:modified xsi:type="dcterms:W3CDTF">2023-02-07T21:41:00Z</dcterms:modified>
</cp:coreProperties>
</file>